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9B" w:rsidRPr="007B3A41" w:rsidRDefault="001E0C9B" w:rsidP="00193847">
      <w:pPr>
        <w:pStyle w:val="Heading1"/>
        <w:spacing w:before="0" w:after="200" w:line="240" w:lineRule="auto"/>
        <w:rPr>
          <w:rFonts w:ascii="Calibri" w:hAnsi="Calibri" w:cs="Calibri"/>
        </w:rPr>
      </w:pPr>
      <w:bookmarkStart w:id="0" w:name="_Toc374020651"/>
      <w:bookmarkStart w:id="1" w:name="_Toc374026436"/>
      <w:bookmarkStart w:id="2" w:name="_Toc373217593"/>
      <w:bookmarkStart w:id="3" w:name="_Toc373334378"/>
      <w:bookmarkStart w:id="4" w:name="_Toc373425203"/>
      <w:bookmarkStart w:id="5" w:name="_Toc373426207"/>
      <w:bookmarkStart w:id="6" w:name="_Toc373507640"/>
      <w:bookmarkStart w:id="7" w:name="_Toc373764432"/>
      <w:bookmarkStart w:id="8" w:name="_Toc374021340"/>
      <w:bookmarkStart w:id="9" w:name="_Toc374026414"/>
      <w:bookmarkStart w:id="10" w:name="_Toc374096490"/>
      <w:r w:rsidRPr="007B3A41">
        <w:rPr>
          <w:rFonts w:ascii="Calibri" w:hAnsi="Calibri" w:cs="Calibri"/>
          <w:color w:val="FF0000"/>
        </w:rPr>
        <w:t>EP-</w:t>
      </w:r>
      <w:proofErr w:type="gramStart"/>
      <w:r w:rsidRPr="007B3A41">
        <w:rPr>
          <w:rFonts w:ascii="Calibri" w:hAnsi="Calibri" w:cs="Calibri"/>
          <w:color w:val="FF0000"/>
        </w:rPr>
        <w:t>7</w:t>
      </w:r>
      <w:r w:rsidRPr="007B3A41">
        <w:rPr>
          <w:rFonts w:ascii="Calibri" w:hAnsi="Calibri" w:cs="Calibri"/>
        </w:rPr>
        <w:t xml:space="preserve">  </w:t>
      </w:r>
      <w:bookmarkEnd w:id="0"/>
      <w:bookmarkEnd w:id="1"/>
      <w:r w:rsidRPr="007B3A41">
        <w:rPr>
          <w:rFonts w:ascii="Calibri" w:hAnsi="Calibri" w:cs="Calibri"/>
        </w:rPr>
        <w:t>The</w:t>
      </w:r>
      <w:proofErr w:type="gramEnd"/>
      <w:r w:rsidRPr="007B3A41">
        <w:rPr>
          <w:rFonts w:ascii="Calibri" w:hAnsi="Calibri" w:cs="Calibri"/>
        </w:rPr>
        <w:t xml:space="preserve"> impact of localized E</w:t>
      </w:r>
      <w:r>
        <w:rPr>
          <w:rFonts w:ascii="Calibri" w:hAnsi="Calibri" w:cs="Calibri"/>
        </w:rPr>
        <w:t xml:space="preserve">CH on </w:t>
      </w:r>
      <w:proofErr w:type="spellStart"/>
      <w:r>
        <w:rPr>
          <w:rFonts w:ascii="Calibri" w:hAnsi="Calibri" w:cs="Calibri"/>
        </w:rPr>
        <w:t>Alfvén</w:t>
      </w:r>
      <w:proofErr w:type="spellEnd"/>
      <w:r>
        <w:rPr>
          <w:rFonts w:ascii="Calibri" w:hAnsi="Calibri" w:cs="Calibri"/>
        </w:rPr>
        <w:t xml:space="preserve"> </w:t>
      </w:r>
      <w:proofErr w:type="spellStart"/>
      <w:r>
        <w:rPr>
          <w:rFonts w:ascii="Calibri" w:hAnsi="Calibri" w:cs="Calibri"/>
        </w:rPr>
        <w:t>Eigenmode</w:t>
      </w:r>
      <w:proofErr w:type="spellEnd"/>
      <w:r>
        <w:rPr>
          <w:rFonts w:ascii="Calibri" w:hAnsi="Calibri" w:cs="Calibri"/>
        </w:rPr>
        <w:t xml:space="preserve"> activity</w:t>
      </w:r>
    </w:p>
    <w:tbl>
      <w:tblPr>
        <w:tblW w:w="99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694"/>
        <w:gridCol w:w="2268"/>
        <w:gridCol w:w="2126"/>
        <w:gridCol w:w="2835"/>
      </w:tblGrid>
      <w:tr w:rsidR="006B0E03" w:rsidRPr="006B0E03">
        <w:tc>
          <w:tcPr>
            <w:tcW w:w="2694" w:type="dxa"/>
            <w:shd w:val="clear" w:color="auto" w:fill="F2F2F2"/>
          </w:tcPr>
          <w:p w:rsidR="001E0C9B" w:rsidRPr="006B0E03" w:rsidRDefault="001E0C9B" w:rsidP="00545EAD">
            <w:pPr>
              <w:tabs>
                <w:tab w:val="left" w:pos="405"/>
                <w:tab w:val="left" w:pos="1276"/>
              </w:tabs>
              <w:spacing w:after="0" w:line="240" w:lineRule="auto"/>
              <w:jc w:val="both"/>
              <w:rPr>
                <w:rFonts w:eastAsia="Times New Roman" w:cs="Times New Roman"/>
                <w:b/>
                <w:bCs/>
                <w:color w:val="000000"/>
                <w:lang w:val="en-US" w:eastAsia="en-US"/>
              </w:rPr>
            </w:pPr>
            <w:r w:rsidRPr="006B0E03">
              <w:rPr>
                <w:rFonts w:eastAsia="Times New Roman" w:cs="Times New Roman"/>
                <w:b/>
                <w:bCs/>
                <w:color w:val="000000"/>
                <w:lang w:val="en-US" w:eastAsia="en-US"/>
              </w:rPr>
              <w:t>TG priority:</w:t>
            </w:r>
            <w:r w:rsidRPr="006B0E03">
              <w:rPr>
                <w:rFonts w:eastAsia="Times New Roman" w:cs="Times New Roman"/>
                <w:b/>
                <w:bCs/>
                <w:color w:val="000000"/>
                <w:lang w:val="en-US" w:eastAsia="en-US"/>
              </w:rPr>
              <w:tab/>
            </w:r>
            <w:r w:rsidRPr="006B0E03">
              <w:rPr>
                <w:rFonts w:eastAsia="Times New Roman" w:cs="Times New Roman"/>
                <w:color w:val="000000"/>
                <w:lang w:val="en-US" w:eastAsia="en-US"/>
              </w:rPr>
              <w:t>High</w:t>
            </w:r>
            <w:r w:rsidRPr="006B0E03">
              <w:rPr>
                <w:rFonts w:eastAsia="Times New Roman" w:cs="Times New Roman"/>
                <w:b/>
                <w:bCs/>
                <w:color w:val="000000"/>
                <w:lang w:val="en-US" w:eastAsia="en-US"/>
              </w:rPr>
              <w:t xml:space="preserve">    </w:t>
            </w:r>
          </w:p>
        </w:tc>
        <w:tc>
          <w:tcPr>
            <w:tcW w:w="2268" w:type="dxa"/>
            <w:shd w:val="clear" w:color="auto" w:fill="F2F2F2"/>
          </w:tcPr>
          <w:p w:rsidR="001E0C9B" w:rsidRPr="006B0E03" w:rsidRDefault="001E0C9B" w:rsidP="00545EAD">
            <w:pPr>
              <w:tabs>
                <w:tab w:val="left" w:pos="1167"/>
              </w:tabs>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Start date:</w:t>
            </w:r>
            <w:r w:rsidRPr="006B0E03">
              <w:rPr>
                <w:rFonts w:eastAsia="Times New Roman" w:cs="Times New Roman"/>
                <w:b/>
                <w:bCs/>
                <w:color w:val="000000"/>
                <w:lang w:val="en-US" w:eastAsia="en-US"/>
              </w:rPr>
              <w:tab/>
            </w:r>
            <w:r w:rsidRPr="006B0E03">
              <w:rPr>
                <w:rFonts w:eastAsia="Times New Roman" w:cs="Times New Roman"/>
                <w:color w:val="000000"/>
                <w:lang w:val="en-US" w:eastAsia="en-US"/>
              </w:rPr>
              <w:t>2013</w:t>
            </w:r>
          </w:p>
        </w:tc>
        <w:tc>
          <w:tcPr>
            <w:tcW w:w="2126" w:type="dxa"/>
            <w:shd w:val="clear" w:color="auto" w:fill="F2F2F2"/>
          </w:tcPr>
          <w:p w:rsidR="001E0C9B" w:rsidRPr="006B0E03" w:rsidRDefault="001E0C9B" w:rsidP="00545EAD">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 xml:space="preserve">Status:  </w:t>
            </w:r>
            <w:r w:rsidRPr="006B0E03">
              <w:rPr>
                <w:rFonts w:eastAsia="Times New Roman" w:cs="Times New Roman"/>
                <w:color w:val="000000"/>
                <w:lang w:val="en-US" w:eastAsia="en-US"/>
              </w:rPr>
              <w:t xml:space="preserve"> On-going</w:t>
            </w:r>
          </w:p>
        </w:tc>
        <w:tc>
          <w:tcPr>
            <w:tcW w:w="2835" w:type="dxa"/>
            <w:shd w:val="clear" w:color="auto" w:fill="F2F2F2"/>
            <w:vAlign w:val="center"/>
          </w:tcPr>
          <w:p w:rsidR="001E0C9B" w:rsidRPr="006B0E03" w:rsidRDefault="001E0C9B" w:rsidP="00545EAD">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 xml:space="preserve">Personnel exchange:  </w:t>
            </w:r>
            <w:r w:rsidRPr="006B0E03">
              <w:rPr>
                <w:rFonts w:eastAsia="Times New Roman" w:cs="Times New Roman"/>
                <w:color w:val="000000"/>
                <w:lang w:val="en-US" w:eastAsia="en-US"/>
              </w:rPr>
              <w:t xml:space="preserve"> Yes</w:t>
            </w:r>
          </w:p>
        </w:tc>
      </w:tr>
      <w:tr w:rsidR="006B0E03" w:rsidRPr="006B0E03">
        <w:tc>
          <w:tcPr>
            <w:tcW w:w="2694" w:type="dxa"/>
            <w:shd w:val="clear" w:color="auto" w:fill="F2F2F2"/>
          </w:tcPr>
          <w:p w:rsidR="001E0C9B" w:rsidRPr="006B0E03" w:rsidRDefault="001E0C9B" w:rsidP="00F42CDA">
            <w:pPr>
              <w:tabs>
                <w:tab w:val="left" w:pos="405"/>
                <w:tab w:val="left" w:pos="1276"/>
                <w:tab w:val="left" w:pos="1380"/>
              </w:tabs>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IO priority:</w:t>
            </w:r>
            <w:r w:rsidRPr="006B0E03">
              <w:rPr>
                <w:rFonts w:eastAsia="Times New Roman" w:cs="Times New Roman"/>
                <w:b/>
                <w:bCs/>
                <w:color w:val="000000"/>
                <w:lang w:val="en-US" w:eastAsia="en-US"/>
              </w:rPr>
              <w:tab/>
            </w:r>
            <w:r w:rsidRPr="006B0E03">
              <w:rPr>
                <w:rFonts w:eastAsia="Times New Roman" w:cs="Times New Roman"/>
                <w:color w:val="000000"/>
                <w:lang w:val="en-US" w:eastAsia="en-US"/>
              </w:rPr>
              <w:t xml:space="preserve">                   </w:t>
            </w:r>
            <w:r w:rsidRPr="006B0E03">
              <w:rPr>
                <w:rFonts w:eastAsia="Times New Roman" w:cs="Times New Roman"/>
                <w:b/>
                <w:bCs/>
                <w:color w:val="000000"/>
                <w:lang w:val="en-US" w:eastAsia="en-US"/>
              </w:rPr>
              <w:t xml:space="preserve">    </w:t>
            </w:r>
          </w:p>
        </w:tc>
        <w:tc>
          <w:tcPr>
            <w:tcW w:w="2268" w:type="dxa"/>
            <w:shd w:val="clear" w:color="auto" w:fill="F2F2F2"/>
          </w:tcPr>
          <w:p w:rsidR="001E0C9B" w:rsidRPr="006B0E03" w:rsidRDefault="001E0C9B" w:rsidP="00F42CDA">
            <w:pPr>
              <w:tabs>
                <w:tab w:val="left" w:pos="1167"/>
              </w:tabs>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End date:</w:t>
            </w:r>
            <w:r w:rsidRPr="006B0E03">
              <w:rPr>
                <w:rFonts w:eastAsia="Times New Roman" w:cs="Times New Roman"/>
                <w:b/>
                <w:bCs/>
                <w:color w:val="000000"/>
                <w:lang w:val="en-US" w:eastAsia="en-US"/>
              </w:rPr>
              <w:tab/>
            </w:r>
            <w:r w:rsidRPr="006B0E03">
              <w:rPr>
                <w:rFonts w:eastAsia="Times New Roman" w:cs="Times New Roman"/>
                <w:color w:val="000000"/>
                <w:lang w:val="en-US" w:eastAsia="en-US"/>
              </w:rPr>
              <w:t xml:space="preserve">2016               </w:t>
            </w:r>
          </w:p>
        </w:tc>
        <w:tc>
          <w:tcPr>
            <w:tcW w:w="4961" w:type="dxa"/>
            <w:gridSpan w:val="2"/>
            <w:shd w:val="clear" w:color="auto" w:fill="F2F2F2"/>
          </w:tcPr>
          <w:p w:rsidR="001E0C9B" w:rsidRPr="006B0E03" w:rsidRDefault="001E0C9B" w:rsidP="00F42CDA">
            <w:pPr>
              <w:spacing w:after="0" w:line="240" w:lineRule="auto"/>
              <w:jc w:val="both"/>
              <w:rPr>
                <w:rFonts w:eastAsia="Times New Roman" w:cs="Times New Roman"/>
                <w:b/>
                <w:bCs/>
                <w:color w:val="000000"/>
                <w:lang w:val="en-US" w:eastAsia="en-US"/>
              </w:rPr>
            </w:pPr>
            <w:r w:rsidRPr="006B0E03">
              <w:rPr>
                <w:rFonts w:eastAsia="Times New Roman" w:cs="Times New Roman"/>
                <w:b/>
                <w:bCs/>
                <w:color w:val="000000"/>
                <w:lang w:val="en-US" w:eastAsia="en-US"/>
              </w:rPr>
              <w:t>Motivation:</w:t>
            </w:r>
            <w:r w:rsidRPr="006B0E03">
              <w:rPr>
                <w:rFonts w:eastAsia="Times New Roman" w:cs="Times New Roman"/>
                <w:bCs/>
                <w:color w:val="000000"/>
                <w:lang w:val="en-US" w:eastAsia="en-US"/>
              </w:rPr>
              <w:t xml:space="preserve"> </w:t>
            </w:r>
            <w:r w:rsidR="00F42CDA" w:rsidRPr="006B0E03">
              <w:rPr>
                <w:rFonts w:eastAsia="Times New Roman" w:cs="Times New Roman"/>
                <w:bCs/>
                <w:color w:val="000000"/>
                <w:lang w:val="en-US" w:eastAsia="en-US"/>
              </w:rPr>
              <w:t>Physics Basis</w:t>
            </w:r>
            <w:r w:rsidRPr="006B0E03">
              <w:rPr>
                <w:rFonts w:eastAsia="Times New Roman" w:cs="Times New Roman"/>
                <w:b/>
                <w:bCs/>
                <w:color w:val="000000"/>
                <w:lang w:val="en-US" w:eastAsia="en-US"/>
              </w:rPr>
              <w:t xml:space="preserve">   </w:t>
            </w:r>
            <w:r w:rsidRPr="006B0E03">
              <w:rPr>
                <w:rFonts w:eastAsia="Times New Roman" w:cs="Times New Roman"/>
                <w:color w:val="000000"/>
                <w:lang w:val="en-US" w:eastAsia="en-US"/>
              </w:rPr>
              <w:t xml:space="preserve">                              </w:t>
            </w:r>
          </w:p>
        </w:tc>
      </w:tr>
    </w:tbl>
    <w:p w:rsidR="001E0C9B" w:rsidRPr="007B3A41" w:rsidRDefault="001E0C9B" w:rsidP="007B3A41">
      <w:pPr>
        <w:spacing w:after="0" w:line="240" w:lineRule="auto"/>
        <w:jc w:val="both"/>
        <w:rPr>
          <w:rFonts w:eastAsia="Times New Roman" w:cs="Times New Roman"/>
          <w:b/>
          <w:bCs/>
          <w:sz w:val="4"/>
          <w:szCs w:val="4"/>
          <w:lang w:val="en-US" w:eastAsia="en-US"/>
        </w:rPr>
      </w:pPr>
    </w:p>
    <w:tbl>
      <w:tblPr>
        <w:tblW w:w="99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265"/>
        <w:gridCol w:w="1854"/>
        <w:gridCol w:w="1276"/>
        <w:gridCol w:w="1417"/>
        <w:gridCol w:w="1418"/>
        <w:gridCol w:w="1288"/>
        <w:gridCol w:w="1405"/>
      </w:tblGrid>
      <w:tr w:rsidR="006B0E03" w:rsidRPr="006B0E03" w:rsidTr="00ED0103">
        <w:tc>
          <w:tcPr>
            <w:tcW w:w="1265" w:type="dxa"/>
            <w:vMerge w:val="restart"/>
            <w:shd w:val="clear" w:color="auto" w:fill="D9D9D9"/>
          </w:tcPr>
          <w:p w:rsidR="001E0C9B" w:rsidRPr="006B0E03" w:rsidRDefault="001E0C9B" w:rsidP="007B3A41">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Device /</w:t>
            </w:r>
          </w:p>
          <w:p w:rsidR="001E0C9B" w:rsidRPr="006B0E03" w:rsidRDefault="001E0C9B" w:rsidP="007B3A41">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Association</w:t>
            </w:r>
          </w:p>
        </w:tc>
        <w:tc>
          <w:tcPr>
            <w:tcW w:w="1854" w:type="dxa"/>
            <w:vMerge w:val="restart"/>
            <w:shd w:val="clear" w:color="auto" w:fill="D9D9D9"/>
          </w:tcPr>
          <w:p w:rsidR="001E0C9B" w:rsidRPr="006B0E03" w:rsidRDefault="001E0C9B" w:rsidP="007B3A41">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Contact</w:t>
            </w:r>
          </w:p>
          <w:p w:rsidR="001E0C9B" w:rsidRPr="006B0E03" w:rsidRDefault="001E0C9B" w:rsidP="007B3A41">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Person</w:t>
            </w:r>
          </w:p>
        </w:tc>
        <w:tc>
          <w:tcPr>
            <w:tcW w:w="1276" w:type="dxa"/>
            <w:vMerge w:val="restart"/>
            <w:shd w:val="clear" w:color="auto" w:fill="D9D9D9"/>
          </w:tcPr>
          <w:p w:rsidR="001E0C9B" w:rsidRPr="006B0E03" w:rsidRDefault="001E0C9B" w:rsidP="00DD25E5">
            <w:pPr>
              <w:spacing w:after="0" w:line="240" w:lineRule="auto"/>
              <w:rPr>
                <w:rFonts w:eastAsia="Times New Roman" w:cs="Times New Roman"/>
                <w:b/>
                <w:bCs/>
                <w:color w:val="000000"/>
                <w:lang w:val="en-US" w:eastAsia="en-US"/>
              </w:rPr>
            </w:pPr>
            <w:r w:rsidRPr="006B0E03">
              <w:rPr>
                <w:rFonts w:eastAsia="Times New Roman" w:cs="Times New Roman"/>
                <w:b/>
                <w:bCs/>
                <w:color w:val="000000"/>
                <w:lang w:val="en-US" w:eastAsia="en-US"/>
              </w:rPr>
              <w:t>2016 TG</w:t>
            </w:r>
            <w:r w:rsidRPr="006B0E03">
              <w:rPr>
                <w:rFonts w:eastAsia="Times New Roman" w:cs="Times New Roman"/>
                <w:b/>
                <w:bCs/>
                <w:color w:val="000000"/>
                <w:lang w:val="en-US" w:eastAsia="en-US"/>
              </w:rPr>
              <w:br/>
              <w:t>Request</w:t>
            </w:r>
          </w:p>
        </w:tc>
        <w:tc>
          <w:tcPr>
            <w:tcW w:w="5528" w:type="dxa"/>
            <w:gridSpan w:val="4"/>
            <w:shd w:val="clear" w:color="auto" w:fill="D9D9D9"/>
          </w:tcPr>
          <w:p w:rsidR="001E0C9B" w:rsidRPr="006B0E03" w:rsidRDefault="001E0C9B" w:rsidP="007B3A41">
            <w:pPr>
              <w:spacing w:after="0" w:line="240" w:lineRule="auto"/>
              <w:jc w:val="center"/>
              <w:rPr>
                <w:rFonts w:eastAsia="Times New Roman" w:cs="Times New Roman"/>
                <w:b/>
                <w:bCs/>
                <w:color w:val="000000"/>
                <w:lang w:val="en-US" w:eastAsia="en-US"/>
              </w:rPr>
            </w:pPr>
            <w:r w:rsidRPr="006B0E03">
              <w:rPr>
                <w:rFonts w:eastAsia="Times New Roman" w:cs="Times New Roman"/>
                <w:b/>
                <w:bCs/>
                <w:color w:val="000000"/>
                <w:lang w:val="en-US" w:eastAsia="en-US"/>
              </w:rPr>
              <w:t>Activity (from JEX/JA spreadsheets)</w:t>
            </w:r>
          </w:p>
        </w:tc>
      </w:tr>
      <w:tr w:rsidR="006B0E03" w:rsidRPr="006B0E03" w:rsidTr="00ED0103">
        <w:tc>
          <w:tcPr>
            <w:tcW w:w="1265" w:type="dxa"/>
            <w:vMerge/>
            <w:shd w:val="clear" w:color="auto" w:fill="D9D9D9"/>
          </w:tcPr>
          <w:p w:rsidR="001E0C9B" w:rsidRPr="006B0E03" w:rsidRDefault="001E0C9B" w:rsidP="007B3A41">
            <w:pPr>
              <w:spacing w:after="0" w:line="240" w:lineRule="auto"/>
              <w:rPr>
                <w:rFonts w:eastAsia="Times New Roman" w:cs="Times New Roman"/>
                <w:b/>
                <w:bCs/>
                <w:color w:val="000000"/>
                <w:lang w:val="en-US" w:eastAsia="en-US"/>
              </w:rPr>
            </w:pPr>
          </w:p>
        </w:tc>
        <w:tc>
          <w:tcPr>
            <w:tcW w:w="1854" w:type="dxa"/>
            <w:vMerge/>
            <w:shd w:val="clear" w:color="auto" w:fill="D9D9D9"/>
          </w:tcPr>
          <w:p w:rsidR="001E0C9B" w:rsidRPr="006B0E03" w:rsidRDefault="001E0C9B" w:rsidP="007B3A41">
            <w:pPr>
              <w:spacing w:after="0" w:line="240" w:lineRule="auto"/>
              <w:rPr>
                <w:rFonts w:eastAsia="Times New Roman" w:cs="Times New Roman"/>
                <w:b/>
                <w:bCs/>
                <w:color w:val="000000"/>
                <w:lang w:val="en-US" w:eastAsia="en-US"/>
              </w:rPr>
            </w:pPr>
          </w:p>
        </w:tc>
        <w:tc>
          <w:tcPr>
            <w:tcW w:w="1276" w:type="dxa"/>
            <w:vMerge/>
            <w:shd w:val="clear" w:color="auto" w:fill="D9D9D9"/>
          </w:tcPr>
          <w:p w:rsidR="001E0C9B" w:rsidRPr="006B0E03" w:rsidRDefault="001E0C9B" w:rsidP="00DD25E5">
            <w:pPr>
              <w:spacing w:after="0" w:line="240" w:lineRule="auto"/>
              <w:rPr>
                <w:rFonts w:eastAsia="Times New Roman" w:cs="Times New Roman"/>
                <w:b/>
                <w:bCs/>
                <w:color w:val="000000"/>
                <w:lang w:val="en-US" w:eastAsia="en-US"/>
              </w:rPr>
            </w:pPr>
          </w:p>
        </w:tc>
        <w:tc>
          <w:tcPr>
            <w:tcW w:w="1417" w:type="dxa"/>
            <w:shd w:val="clear" w:color="auto" w:fill="D9D9D9"/>
          </w:tcPr>
          <w:p w:rsidR="001E0C9B" w:rsidRPr="006B0E03" w:rsidRDefault="001E0C9B" w:rsidP="007B3A41">
            <w:pPr>
              <w:spacing w:after="0" w:line="240" w:lineRule="auto"/>
              <w:jc w:val="center"/>
              <w:rPr>
                <w:rFonts w:eastAsia="Times New Roman" w:cs="Times New Roman"/>
                <w:b/>
                <w:bCs/>
                <w:color w:val="000000"/>
                <w:lang w:val="en-US" w:eastAsia="en-US"/>
              </w:rPr>
            </w:pPr>
            <w:r w:rsidRPr="006B0E03">
              <w:rPr>
                <w:rFonts w:eastAsia="Times New Roman" w:cs="Times New Roman"/>
                <w:b/>
                <w:bCs/>
                <w:color w:val="000000"/>
                <w:lang w:val="en-US" w:eastAsia="en-US"/>
              </w:rPr>
              <w:t>2013</w:t>
            </w:r>
          </w:p>
        </w:tc>
        <w:tc>
          <w:tcPr>
            <w:tcW w:w="1418" w:type="dxa"/>
            <w:shd w:val="clear" w:color="auto" w:fill="D9D9D9"/>
          </w:tcPr>
          <w:p w:rsidR="001E0C9B" w:rsidRPr="006B0E03" w:rsidRDefault="001E0C9B" w:rsidP="007B3A41">
            <w:pPr>
              <w:spacing w:after="0" w:line="240" w:lineRule="auto"/>
              <w:jc w:val="center"/>
              <w:rPr>
                <w:rFonts w:eastAsia="Times New Roman" w:cs="Times New Roman"/>
                <w:b/>
                <w:bCs/>
                <w:color w:val="000000"/>
                <w:lang w:val="en-US" w:eastAsia="en-US"/>
              </w:rPr>
            </w:pPr>
            <w:r w:rsidRPr="006B0E03">
              <w:rPr>
                <w:rFonts w:eastAsia="Times New Roman" w:cs="Times New Roman"/>
                <w:b/>
                <w:bCs/>
                <w:color w:val="000000"/>
                <w:lang w:val="en-US" w:eastAsia="en-US"/>
              </w:rPr>
              <w:t>2014</w:t>
            </w:r>
          </w:p>
        </w:tc>
        <w:tc>
          <w:tcPr>
            <w:tcW w:w="1288" w:type="dxa"/>
            <w:shd w:val="clear" w:color="auto" w:fill="D9D9D9"/>
          </w:tcPr>
          <w:p w:rsidR="001E0C9B" w:rsidRPr="006B0E03" w:rsidRDefault="001E0C9B" w:rsidP="007B3A41">
            <w:pPr>
              <w:spacing w:after="0" w:line="240" w:lineRule="auto"/>
              <w:jc w:val="center"/>
              <w:rPr>
                <w:rFonts w:eastAsia="Times New Roman" w:cs="Times New Roman"/>
                <w:b/>
                <w:bCs/>
                <w:color w:val="000000"/>
                <w:lang w:val="en-US" w:eastAsia="en-US"/>
              </w:rPr>
            </w:pPr>
            <w:r w:rsidRPr="006B0E03">
              <w:rPr>
                <w:rFonts w:eastAsia="Times New Roman" w:cs="Times New Roman"/>
                <w:b/>
                <w:bCs/>
                <w:color w:val="000000"/>
                <w:lang w:val="en-US" w:eastAsia="en-US"/>
              </w:rPr>
              <w:t>2015</w:t>
            </w:r>
          </w:p>
        </w:tc>
        <w:tc>
          <w:tcPr>
            <w:tcW w:w="1405" w:type="dxa"/>
            <w:shd w:val="clear" w:color="auto" w:fill="D9D9D9"/>
          </w:tcPr>
          <w:p w:rsidR="001E0C9B" w:rsidRPr="006B0E03" w:rsidRDefault="001E0C9B" w:rsidP="007B3A41">
            <w:pPr>
              <w:spacing w:after="0" w:line="240" w:lineRule="auto"/>
              <w:jc w:val="center"/>
              <w:rPr>
                <w:rFonts w:eastAsia="Times New Roman" w:cs="Times New Roman"/>
                <w:b/>
                <w:bCs/>
                <w:color w:val="000000"/>
                <w:lang w:val="en-US" w:eastAsia="en-US"/>
              </w:rPr>
            </w:pPr>
            <w:r w:rsidRPr="006B0E03">
              <w:rPr>
                <w:rFonts w:eastAsia="Times New Roman" w:cs="Times New Roman"/>
                <w:b/>
                <w:bCs/>
                <w:color w:val="000000"/>
                <w:lang w:val="en-US" w:eastAsia="en-US"/>
              </w:rPr>
              <w:t>2016</w:t>
            </w:r>
          </w:p>
        </w:tc>
      </w:tr>
      <w:tr w:rsidR="006B0E03" w:rsidRPr="006B0E03" w:rsidTr="00ED0103">
        <w:tc>
          <w:tcPr>
            <w:tcW w:w="1265" w:type="dxa"/>
            <w:shd w:val="clear" w:color="auto" w:fill="F2F2F2"/>
          </w:tcPr>
          <w:p w:rsidR="001E0C9B" w:rsidRPr="006B0E03" w:rsidRDefault="001E0C9B" w:rsidP="007B3A41">
            <w:pPr>
              <w:tabs>
                <w:tab w:val="left" w:pos="1032"/>
              </w:tabs>
              <w:spacing w:after="0" w:line="240" w:lineRule="auto"/>
              <w:rPr>
                <w:rFonts w:eastAsia="Times New Roman" w:cs="Times New Roman"/>
                <w:color w:val="000000"/>
                <w:lang w:eastAsia="en-US"/>
              </w:rPr>
            </w:pPr>
            <w:r w:rsidRPr="006B0E03">
              <w:rPr>
                <w:rFonts w:eastAsia="Times New Roman" w:cs="Times New Roman"/>
                <w:color w:val="000000"/>
                <w:lang w:val="en-US" w:eastAsia="en-US"/>
              </w:rPr>
              <w:t>DIII-D</w:t>
            </w:r>
            <w:r w:rsidRPr="006B0E03">
              <w:rPr>
                <w:rFonts w:eastAsia="Times New Roman" w:cs="Times New Roman"/>
                <w:color w:val="000000"/>
                <w:lang w:val="en-US" w:eastAsia="en-US"/>
              </w:rPr>
              <w:tab/>
            </w:r>
          </w:p>
        </w:tc>
        <w:tc>
          <w:tcPr>
            <w:tcW w:w="1854" w:type="dxa"/>
            <w:shd w:val="clear" w:color="auto" w:fill="F2F2F2"/>
          </w:tcPr>
          <w:p w:rsidR="001E0C9B" w:rsidRPr="006B0E03" w:rsidRDefault="001E0C9B" w:rsidP="007B3A41">
            <w:pPr>
              <w:spacing w:after="0" w:line="240" w:lineRule="auto"/>
              <w:rPr>
                <w:color w:val="000000"/>
                <w:lang w:val="de-DE"/>
              </w:rPr>
            </w:pPr>
            <w:r w:rsidRPr="006B0E03">
              <w:rPr>
                <w:color w:val="000000"/>
                <w:u w:val="single"/>
                <w:lang w:val="de-DE"/>
              </w:rPr>
              <w:t>M. Van Zeeland</w:t>
            </w:r>
            <w:r w:rsidRPr="006B0E03">
              <w:rPr>
                <w:color w:val="000000"/>
                <w:lang w:val="de-DE"/>
              </w:rPr>
              <w:t>,</w:t>
            </w:r>
          </w:p>
          <w:p w:rsidR="001E0C9B" w:rsidRPr="006B0E03" w:rsidRDefault="001E0C9B" w:rsidP="007B3A41">
            <w:pPr>
              <w:spacing w:after="0" w:line="240" w:lineRule="auto"/>
              <w:rPr>
                <w:rFonts w:eastAsia="Times New Roman" w:cs="Times New Roman"/>
                <w:color w:val="000000"/>
                <w:lang w:val="de-DE" w:eastAsia="en-US"/>
              </w:rPr>
            </w:pPr>
            <w:r w:rsidRPr="006B0E03">
              <w:rPr>
                <w:color w:val="000000"/>
                <w:lang w:val="de-DE"/>
              </w:rPr>
              <w:t>W. Heidbrink</w:t>
            </w:r>
          </w:p>
        </w:tc>
        <w:tc>
          <w:tcPr>
            <w:tcW w:w="1276" w:type="dxa"/>
            <w:shd w:val="clear" w:color="auto" w:fill="F2F2F2"/>
          </w:tcPr>
          <w:p w:rsidR="001E0C9B" w:rsidRPr="006B0E03" w:rsidRDefault="001E0C9B" w:rsidP="00DD25E5">
            <w:pPr>
              <w:spacing w:after="0" w:line="240" w:lineRule="auto"/>
              <w:rPr>
                <w:rFonts w:eastAsia="Times New Roman" w:cs="Times New Roman"/>
                <w:color w:val="000000"/>
                <w:lang w:val="en-US" w:eastAsia="en-US"/>
              </w:rPr>
            </w:pPr>
            <w:r w:rsidRPr="006B0E03">
              <w:rPr>
                <w:rFonts w:eastAsia="Times New Roman" w:cs="Times New Roman"/>
                <w:color w:val="000000"/>
                <w:lang w:val="en-US" w:eastAsia="en-US"/>
              </w:rPr>
              <w:t>Desirable</w:t>
            </w:r>
          </w:p>
        </w:tc>
        <w:tc>
          <w:tcPr>
            <w:tcW w:w="1417"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Not doing</w:t>
            </w:r>
          </w:p>
        </w:tc>
        <w:tc>
          <w:tcPr>
            <w:tcW w:w="1418"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Committed</w:t>
            </w:r>
          </w:p>
        </w:tc>
        <w:tc>
          <w:tcPr>
            <w:tcW w:w="1288"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Analysis</w:t>
            </w:r>
          </w:p>
        </w:tc>
        <w:tc>
          <w:tcPr>
            <w:tcW w:w="1405"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          </w:t>
            </w:r>
          </w:p>
        </w:tc>
      </w:tr>
      <w:tr w:rsidR="006B0E03" w:rsidRPr="006B0E03" w:rsidTr="00ED0103">
        <w:tc>
          <w:tcPr>
            <w:tcW w:w="1265" w:type="dxa"/>
            <w:shd w:val="clear" w:color="auto" w:fill="F2F2F2"/>
          </w:tcPr>
          <w:p w:rsidR="001E0C9B" w:rsidRPr="006B0E03" w:rsidRDefault="001E0C9B" w:rsidP="007B3A41">
            <w:pPr>
              <w:tabs>
                <w:tab w:val="left" w:pos="1032"/>
              </w:tabs>
              <w:spacing w:after="0" w:line="240" w:lineRule="auto"/>
              <w:rPr>
                <w:rFonts w:eastAsia="Times New Roman" w:cs="Times New Roman"/>
                <w:color w:val="000000"/>
                <w:lang w:eastAsia="en-US"/>
              </w:rPr>
            </w:pPr>
            <w:r w:rsidRPr="006B0E03">
              <w:rPr>
                <w:rFonts w:eastAsia="Times New Roman" w:cs="Times New Roman"/>
                <w:color w:val="000000"/>
                <w:lang w:val="en-US" w:eastAsia="en-US"/>
              </w:rPr>
              <w:t>AUG</w:t>
            </w:r>
            <w:r w:rsidRPr="006B0E03">
              <w:rPr>
                <w:rFonts w:eastAsia="Times New Roman" w:cs="Times New Roman"/>
                <w:color w:val="000000"/>
                <w:lang w:val="en-US" w:eastAsia="en-US"/>
              </w:rPr>
              <w:tab/>
            </w:r>
          </w:p>
        </w:tc>
        <w:tc>
          <w:tcPr>
            <w:tcW w:w="1854" w:type="dxa"/>
            <w:shd w:val="clear" w:color="auto" w:fill="F2F2F2"/>
          </w:tcPr>
          <w:p w:rsidR="001E0C9B" w:rsidRPr="006B0E03" w:rsidRDefault="001E0C9B" w:rsidP="007B3A41">
            <w:pPr>
              <w:spacing w:after="0" w:line="240" w:lineRule="auto"/>
              <w:rPr>
                <w:rFonts w:eastAsia="Times New Roman" w:cs="Times New Roman"/>
                <w:color w:val="000000"/>
                <w:lang w:val="fr-CA" w:eastAsia="en-US"/>
              </w:rPr>
            </w:pPr>
            <w:r w:rsidRPr="006B0E03">
              <w:rPr>
                <w:color w:val="000000"/>
                <w:lang w:val="fr-CA"/>
              </w:rPr>
              <w:t xml:space="preserve">I. </w:t>
            </w:r>
            <w:proofErr w:type="spellStart"/>
            <w:r w:rsidRPr="006B0E03">
              <w:rPr>
                <w:color w:val="000000"/>
                <w:lang w:val="fr-CA"/>
              </w:rPr>
              <w:t>Classen</w:t>
            </w:r>
            <w:proofErr w:type="spellEnd"/>
            <w:proofErr w:type="gramStart"/>
            <w:r w:rsidRPr="006B0E03">
              <w:rPr>
                <w:color w:val="000000"/>
                <w:lang w:val="fr-CA"/>
              </w:rPr>
              <w:t>,</w:t>
            </w:r>
            <w:proofErr w:type="gramEnd"/>
            <w:r w:rsidRPr="006B0E03">
              <w:rPr>
                <w:color w:val="000000"/>
                <w:lang w:val="fr-CA"/>
              </w:rPr>
              <w:br/>
              <w:t>M. Garcia-Munoz</w:t>
            </w:r>
          </w:p>
        </w:tc>
        <w:tc>
          <w:tcPr>
            <w:tcW w:w="1276" w:type="dxa"/>
            <w:shd w:val="clear" w:color="auto" w:fill="F2F2F2"/>
          </w:tcPr>
          <w:p w:rsidR="001E0C9B" w:rsidRPr="006B0E03" w:rsidRDefault="001E0C9B" w:rsidP="00DD25E5">
            <w:pPr>
              <w:spacing w:after="0" w:line="240" w:lineRule="auto"/>
              <w:rPr>
                <w:rFonts w:eastAsia="Times New Roman" w:cs="Times New Roman"/>
                <w:color w:val="000000"/>
                <w:lang w:val="fr-CA" w:eastAsia="en-US"/>
              </w:rPr>
            </w:pPr>
            <w:r w:rsidRPr="006B0E03">
              <w:rPr>
                <w:rFonts w:eastAsia="Times New Roman" w:cs="Times New Roman"/>
                <w:color w:val="000000"/>
                <w:lang w:val="en-US" w:eastAsia="en-US"/>
              </w:rPr>
              <w:t>Committed</w:t>
            </w:r>
          </w:p>
        </w:tc>
        <w:tc>
          <w:tcPr>
            <w:tcW w:w="1417"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Committed</w:t>
            </w:r>
          </w:p>
        </w:tc>
        <w:tc>
          <w:tcPr>
            <w:tcW w:w="1418"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Committed</w:t>
            </w:r>
          </w:p>
        </w:tc>
        <w:tc>
          <w:tcPr>
            <w:tcW w:w="1288"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Committed</w:t>
            </w:r>
          </w:p>
        </w:tc>
        <w:tc>
          <w:tcPr>
            <w:tcW w:w="1405" w:type="dxa"/>
            <w:shd w:val="clear" w:color="auto" w:fill="F2F2F2"/>
          </w:tcPr>
          <w:p w:rsidR="001E0C9B" w:rsidRPr="006B0E03" w:rsidRDefault="001E0C9B" w:rsidP="00ED0103">
            <w:pPr>
              <w:spacing w:after="0" w:line="240" w:lineRule="auto"/>
              <w:rPr>
                <w:rFonts w:eastAsia="Times New Roman" w:cs="Times New Roman"/>
                <w:color w:val="000000"/>
                <w:lang w:eastAsia="en-US"/>
              </w:rPr>
            </w:pPr>
            <w:r w:rsidRPr="006B0E03">
              <w:rPr>
                <w:rFonts w:eastAsia="Times New Roman" w:cs="Times New Roman"/>
                <w:color w:val="000000"/>
                <w:lang w:val="en-US" w:eastAsia="en-US"/>
              </w:rPr>
              <w:t xml:space="preserve">         </w:t>
            </w:r>
          </w:p>
        </w:tc>
      </w:tr>
      <w:tr w:rsidR="006B0E03" w:rsidRPr="006B0E03" w:rsidTr="00ED0103">
        <w:tc>
          <w:tcPr>
            <w:tcW w:w="1265" w:type="dxa"/>
            <w:shd w:val="clear" w:color="auto" w:fill="F2F2F2"/>
          </w:tcPr>
          <w:p w:rsidR="001E0C9B" w:rsidRPr="006B0E03" w:rsidRDefault="001E0C9B" w:rsidP="007B3A41">
            <w:pPr>
              <w:tabs>
                <w:tab w:val="left" w:pos="1032"/>
              </w:tabs>
              <w:spacing w:after="0" w:line="240" w:lineRule="auto"/>
              <w:rPr>
                <w:rFonts w:eastAsia="Times New Roman" w:cs="Times New Roman"/>
                <w:color w:val="000000"/>
                <w:lang w:eastAsia="en-US"/>
              </w:rPr>
            </w:pPr>
            <w:r w:rsidRPr="006B0E03">
              <w:rPr>
                <w:rFonts w:eastAsia="Times New Roman" w:cs="Times New Roman"/>
                <w:color w:val="000000"/>
                <w:lang w:val="en-US" w:eastAsia="en-US"/>
              </w:rPr>
              <w:t>TJ-II</w:t>
            </w:r>
            <w:r w:rsidRPr="006B0E03">
              <w:rPr>
                <w:rFonts w:eastAsia="Times New Roman" w:cs="Times New Roman"/>
                <w:color w:val="000000"/>
                <w:lang w:val="en-US" w:eastAsia="en-US"/>
              </w:rPr>
              <w:tab/>
            </w:r>
          </w:p>
        </w:tc>
        <w:tc>
          <w:tcPr>
            <w:tcW w:w="1854" w:type="dxa"/>
            <w:shd w:val="clear" w:color="auto" w:fill="F2F2F2"/>
          </w:tcPr>
          <w:p w:rsidR="001E0C9B" w:rsidRPr="006B0E03" w:rsidRDefault="001E0C9B" w:rsidP="007B3A41">
            <w:pPr>
              <w:spacing w:after="0" w:line="240" w:lineRule="auto"/>
              <w:rPr>
                <w:rFonts w:cs="Times New Roman"/>
                <w:color w:val="000000"/>
              </w:rPr>
            </w:pPr>
            <w:r w:rsidRPr="006B0E03">
              <w:rPr>
                <w:color w:val="000000"/>
              </w:rPr>
              <w:t xml:space="preserve">E. </w:t>
            </w:r>
            <w:proofErr w:type="spellStart"/>
            <w:r w:rsidRPr="006B0E03">
              <w:rPr>
                <w:color w:val="000000"/>
              </w:rPr>
              <w:t>Ascasibar</w:t>
            </w:r>
            <w:proofErr w:type="spellEnd"/>
            <w:r w:rsidRPr="006B0E03">
              <w:rPr>
                <w:color w:val="000000"/>
              </w:rPr>
              <w:t>,</w:t>
            </w:r>
            <w:r w:rsidRPr="006B0E03">
              <w:rPr>
                <w:color w:val="000000"/>
              </w:rPr>
              <w:br/>
              <w:t xml:space="preserve">A. </w:t>
            </w:r>
            <w:proofErr w:type="spellStart"/>
            <w:r w:rsidRPr="006B0E03">
              <w:rPr>
                <w:color w:val="000000"/>
              </w:rPr>
              <w:t>Cappa</w:t>
            </w:r>
            <w:proofErr w:type="spellEnd"/>
            <w:r w:rsidRPr="006B0E03">
              <w:rPr>
                <w:color w:val="000000"/>
              </w:rPr>
              <w:t>,</w:t>
            </w:r>
          </w:p>
          <w:p w:rsidR="001E0C9B" w:rsidRPr="006B0E03" w:rsidRDefault="001E0C9B" w:rsidP="007B3A41">
            <w:pPr>
              <w:spacing w:after="0" w:line="240" w:lineRule="auto"/>
              <w:rPr>
                <w:rFonts w:eastAsia="Times New Roman" w:cs="Times New Roman"/>
                <w:color w:val="000000"/>
                <w:lang w:eastAsia="en-US"/>
              </w:rPr>
            </w:pPr>
            <w:proofErr w:type="spellStart"/>
            <w:r w:rsidRPr="006B0E03">
              <w:rPr>
                <w:color w:val="000000"/>
              </w:rPr>
              <w:t>A.Melnikov</w:t>
            </w:r>
            <w:proofErr w:type="spellEnd"/>
          </w:p>
        </w:tc>
        <w:tc>
          <w:tcPr>
            <w:tcW w:w="1276" w:type="dxa"/>
            <w:shd w:val="clear" w:color="auto" w:fill="F2F2F2"/>
          </w:tcPr>
          <w:p w:rsidR="001E0C9B" w:rsidRPr="006B0E03" w:rsidRDefault="001E0C9B" w:rsidP="00DD25E5">
            <w:pPr>
              <w:spacing w:after="0" w:line="240" w:lineRule="auto"/>
              <w:rPr>
                <w:rFonts w:eastAsia="Times New Roman" w:cs="Times New Roman"/>
                <w:color w:val="000000"/>
                <w:lang w:val="en-US" w:eastAsia="en-US"/>
              </w:rPr>
            </w:pPr>
            <w:r w:rsidRPr="006B0E03">
              <w:rPr>
                <w:rFonts w:eastAsia="Times New Roman" w:cs="Times New Roman"/>
                <w:color w:val="000000"/>
                <w:lang w:val="en-US" w:eastAsia="en-US"/>
              </w:rPr>
              <w:t>Desirable</w:t>
            </w:r>
          </w:p>
        </w:tc>
        <w:tc>
          <w:tcPr>
            <w:tcW w:w="1417"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          </w:t>
            </w:r>
          </w:p>
        </w:tc>
        <w:tc>
          <w:tcPr>
            <w:tcW w:w="1418"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          </w:t>
            </w:r>
          </w:p>
        </w:tc>
        <w:tc>
          <w:tcPr>
            <w:tcW w:w="1288"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Analysis          </w:t>
            </w:r>
          </w:p>
        </w:tc>
        <w:tc>
          <w:tcPr>
            <w:tcW w:w="1405"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          </w:t>
            </w:r>
          </w:p>
        </w:tc>
      </w:tr>
      <w:tr w:rsidR="006B0E03" w:rsidRPr="006B0E03" w:rsidTr="00ED0103">
        <w:tc>
          <w:tcPr>
            <w:tcW w:w="1265" w:type="dxa"/>
            <w:shd w:val="clear" w:color="auto" w:fill="F2F2F2"/>
          </w:tcPr>
          <w:p w:rsidR="001E0C9B" w:rsidRPr="006B0E03" w:rsidRDefault="001E0C9B" w:rsidP="007B3A41">
            <w:pPr>
              <w:tabs>
                <w:tab w:val="left" w:pos="1032"/>
              </w:tabs>
              <w:spacing w:after="0" w:line="240" w:lineRule="auto"/>
              <w:rPr>
                <w:rFonts w:eastAsia="Times New Roman" w:cs="Times New Roman"/>
                <w:color w:val="000000"/>
                <w:lang w:eastAsia="en-US"/>
              </w:rPr>
            </w:pPr>
            <w:r w:rsidRPr="006B0E03">
              <w:rPr>
                <w:rFonts w:eastAsia="Times New Roman" w:cs="Times New Roman"/>
                <w:color w:val="000000"/>
                <w:lang w:val="en-US" w:eastAsia="en-US"/>
              </w:rPr>
              <w:t>LHD</w:t>
            </w:r>
            <w:r w:rsidRPr="006B0E03">
              <w:rPr>
                <w:rFonts w:eastAsia="Times New Roman" w:cs="Times New Roman"/>
                <w:color w:val="000000"/>
                <w:lang w:val="en-US" w:eastAsia="en-US"/>
              </w:rPr>
              <w:tab/>
            </w:r>
          </w:p>
        </w:tc>
        <w:tc>
          <w:tcPr>
            <w:tcW w:w="1854" w:type="dxa"/>
            <w:shd w:val="clear" w:color="auto" w:fill="F2F2F2"/>
          </w:tcPr>
          <w:p w:rsidR="001E0C9B" w:rsidRPr="006B0E03" w:rsidRDefault="001E0C9B" w:rsidP="007B3A41">
            <w:pPr>
              <w:spacing w:after="0" w:line="240" w:lineRule="auto"/>
              <w:rPr>
                <w:rFonts w:cs="Times New Roman"/>
                <w:color w:val="000000"/>
                <w:lang w:eastAsia="ja-JP"/>
              </w:rPr>
            </w:pPr>
            <w:r w:rsidRPr="006B0E03">
              <w:rPr>
                <w:color w:val="000000"/>
              </w:rPr>
              <w:t>K. Toi,</w:t>
            </w:r>
          </w:p>
          <w:p w:rsidR="001E0C9B" w:rsidRPr="006B0E03" w:rsidRDefault="001E0C9B" w:rsidP="007B3A41">
            <w:pPr>
              <w:spacing w:after="0" w:line="240" w:lineRule="auto"/>
              <w:rPr>
                <w:rFonts w:eastAsia="Times New Roman" w:cs="Times New Roman"/>
                <w:color w:val="000000"/>
                <w:lang w:eastAsia="ja-JP"/>
              </w:rPr>
            </w:pPr>
            <w:proofErr w:type="spellStart"/>
            <w:r w:rsidRPr="006B0E03">
              <w:rPr>
                <w:color w:val="000000"/>
                <w:lang w:eastAsia="ja-JP"/>
              </w:rPr>
              <w:t>M.Osakabe</w:t>
            </w:r>
            <w:proofErr w:type="spellEnd"/>
          </w:p>
        </w:tc>
        <w:tc>
          <w:tcPr>
            <w:tcW w:w="1276" w:type="dxa"/>
            <w:shd w:val="clear" w:color="auto" w:fill="F2F2F2"/>
          </w:tcPr>
          <w:p w:rsidR="001E0C9B" w:rsidRPr="006B0E03" w:rsidRDefault="001E0C9B" w:rsidP="00DD25E5">
            <w:pPr>
              <w:spacing w:after="0" w:line="240" w:lineRule="auto"/>
              <w:rPr>
                <w:rFonts w:eastAsia="Times New Roman" w:cs="Times New Roman"/>
                <w:color w:val="000000"/>
                <w:lang w:val="en-US" w:eastAsia="en-US"/>
              </w:rPr>
            </w:pPr>
            <w:r w:rsidRPr="006B0E03">
              <w:rPr>
                <w:rFonts w:eastAsia="Times New Roman" w:cs="Times New Roman"/>
                <w:color w:val="000000"/>
                <w:lang w:val="en-US" w:eastAsia="en-US"/>
              </w:rPr>
              <w:t>Desirable</w:t>
            </w:r>
          </w:p>
        </w:tc>
        <w:tc>
          <w:tcPr>
            <w:tcW w:w="1417"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Committed</w:t>
            </w:r>
          </w:p>
        </w:tc>
        <w:tc>
          <w:tcPr>
            <w:tcW w:w="1418"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Committed</w:t>
            </w:r>
          </w:p>
        </w:tc>
        <w:tc>
          <w:tcPr>
            <w:tcW w:w="1288" w:type="dxa"/>
            <w:shd w:val="clear" w:color="auto" w:fill="F2F2F2"/>
          </w:tcPr>
          <w:p w:rsidR="001E0C9B" w:rsidRPr="006B0E03" w:rsidRDefault="001E0C9B" w:rsidP="007B3A41">
            <w:pPr>
              <w:spacing w:after="0" w:line="240" w:lineRule="auto"/>
              <w:jc w:val="center"/>
              <w:rPr>
                <w:rFonts w:eastAsia="Times New Roman" w:cs="Times New Roman"/>
                <w:color w:val="000000"/>
                <w:lang w:val="en-US" w:eastAsia="en-US"/>
              </w:rPr>
            </w:pPr>
            <w:r w:rsidRPr="006B0E03">
              <w:rPr>
                <w:rFonts w:eastAsia="Times New Roman" w:cs="Times New Roman"/>
                <w:color w:val="000000"/>
                <w:lang w:val="en-US" w:eastAsia="en-US"/>
              </w:rPr>
              <w:t xml:space="preserve">          </w:t>
            </w:r>
          </w:p>
        </w:tc>
        <w:tc>
          <w:tcPr>
            <w:tcW w:w="1405" w:type="dxa"/>
            <w:shd w:val="clear" w:color="auto" w:fill="F2F2F2"/>
          </w:tcPr>
          <w:p w:rsidR="001E0C9B" w:rsidRPr="006B0E03" w:rsidRDefault="001E0C9B" w:rsidP="007B3A41">
            <w:pPr>
              <w:spacing w:after="0" w:line="240" w:lineRule="auto"/>
              <w:jc w:val="center"/>
              <w:rPr>
                <w:rFonts w:eastAsia="Times New Roman" w:cs="Times New Roman"/>
                <w:color w:val="000000"/>
                <w:lang w:val="en-US" w:eastAsia="en-US"/>
              </w:rPr>
            </w:pPr>
            <w:r w:rsidRPr="006B0E03">
              <w:rPr>
                <w:rFonts w:eastAsia="Times New Roman" w:cs="Times New Roman"/>
                <w:color w:val="000000"/>
                <w:lang w:val="en-US" w:eastAsia="en-US"/>
              </w:rPr>
              <w:t xml:space="preserve">          </w:t>
            </w:r>
          </w:p>
        </w:tc>
      </w:tr>
      <w:tr w:rsidR="006B0E03" w:rsidRPr="006B0E03" w:rsidTr="00ED0103">
        <w:trPr>
          <w:trHeight w:val="53"/>
        </w:trPr>
        <w:tc>
          <w:tcPr>
            <w:tcW w:w="1265" w:type="dxa"/>
            <w:shd w:val="clear" w:color="auto" w:fill="F2F2F2"/>
          </w:tcPr>
          <w:p w:rsidR="001E0C9B" w:rsidRPr="006B0E03" w:rsidRDefault="001E0C9B" w:rsidP="007B3A41">
            <w:pPr>
              <w:tabs>
                <w:tab w:val="left" w:pos="1032"/>
              </w:tabs>
              <w:spacing w:after="0" w:line="240" w:lineRule="auto"/>
              <w:rPr>
                <w:rFonts w:eastAsia="Times New Roman" w:cs="Times New Roman"/>
                <w:color w:val="000000"/>
                <w:lang w:eastAsia="en-US"/>
              </w:rPr>
            </w:pPr>
            <w:r w:rsidRPr="006B0E03">
              <w:rPr>
                <w:rFonts w:eastAsia="Times New Roman" w:cs="Times New Roman"/>
                <w:color w:val="000000"/>
                <w:lang w:val="en-US" w:eastAsia="en-US"/>
              </w:rPr>
              <w:t>KSTAR</w:t>
            </w:r>
            <w:r w:rsidRPr="006B0E03">
              <w:rPr>
                <w:rFonts w:eastAsia="Times New Roman" w:cs="Times New Roman"/>
                <w:color w:val="000000"/>
                <w:lang w:val="en-US" w:eastAsia="en-US"/>
              </w:rPr>
              <w:tab/>
            </w:r>
          </w:p>
        </w:tc>
        <w:tc>
          <w:tcPr>
            <w:tcW w:w="1854" w:type="dxa"/>
            <w:shd w:val="clear" w:color="auto" w:fill="F2F2F2"/>
          </w:tcPr>
          <w:p w:rsidR="001E0C9B" w:rsidRPr="006B0E03" w:rsidRDefault="001E0C9B" w:rsidP="007B3A41">
            <w:pPr>
              <w:spacing w:after="0" w:line="240" w:lineRule="auto"/>
              <w:rPr>
                <w:rFonts w:eastAsia="Times New Roman" w:cs="Times New Roman"/>
                <w:color w:val="000000"/>
                <w:lang w:eastAsia="en-US"/>
              </w:rPr>
            </w:pPr>
            <w:r w:rsidRPr="006B0E03">
              <w:rPr>
                <w:color w:val="000000"/>
              </w:rPr>
              <w:t xml:space="preserve">C.M. </w:t>
            </w:r>
            <w:proofErr w:type="spellStart"/>
            <w:r w:rsidRPr="006B0E03">
              <w:rPr>
                <w:color w:val="000000"/>
              </w:rPr>
              <w:t>Ryu</w:t>
            </w:r>
            <w:proofErr w:type="spellEnd"/>
          </w:p>
        </w:tc>
        <w:tc>
          <w:tcPr>
            <w:tcW w:w="1276" w:type="dxa"/>
            <w:shd w:val="clear" w:color="auto" w:fill="F2F2F2"/>
          </w:tcPr>
          <w:p w:rsidR="001E0C9B" w:rsidRPr="006B0E03" w:rsidRDefault="001E0C9B" w:rsidP="00DD25E5">
            <w:pPr>
              <w:spacing w:after="0" w:line="240" w:lineRule="auto"/>
              <w:rPr>
                <w:rFonts w:eastAsia="Times New Roman" w:cs="Times New Roman"/>
                <w:color w:val="000000"/>
                <w:lang w:val="en-US" w:eastAsia="en-US"/>
              </w:rPr>
            </w:pPr>
            <w:r w:rsidRPr="006B0E03">
              <w:rPr>
                <w:rFonts w:eastAsia="Times New Roman" w:cs="Times New Roman"/>
                <w:color w:val="000000"/>
                <w:lang w:val="en-US" w:eastAsia="en-US"/>
              </w:rPr>
              <w:t>Desirable</w:t>
            </w:r>
          </w:p>
        </w:tc>
        <w:tc>
          <w:tcPr>
            <w:tcW w:w="1417" w:type="dxa"/>
            <w:shd w:val="clear" w:color="auto" w:fill="F2F2F2"/>
          </w:tcPr>
          <w:p w:rsidR="001E0C9B" w:rsidRPr="006B0E03" w:rsidRDefault="001E0C9B" w:rsidP="002D31A3">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Considering</w:t>
            </w:r>
          </w:p>
        </w:tc>
        <w:tc>
          <w:tcPr>
            <w:tcW w:w="1418"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Considering</w:t>
            </w:r>
          </w:p>
        </w:tc>
        <w:tc>
          <w:tcPr>
            <w:tcW w:w="1288"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          </w:t>
            </w:r>
          </w:p>
        </w:tc>
        <w:tc>
          <w:tcPr>
            <w:tcW w:w="1405" w:type="dxa"/>
            <w:shd w:val="clear" w:color="auto" w:fill="F2F2F2"/>
          </w:tcPr>
          <w:p w:rsidR="001E0C9B" w:rsidRPr="006B0E03" w:rsidRDefault="001E0C9B" w:rsidP="007B3A41">
            <w:pPr>
              <w:spacing w:after="0" w:line="240" w:lineRule="auto"/>
              <w:jc w:val="center"/>
              <w:rPr>
                <w:rFonts w:eastAsia="Times New Roman" w:cs="Times New Roman"/>
                <w:color w:val="000000"/>
                <w:lang w:eastAsia="en-US"/>
              </w:rPr>
            </w:pPr>
            <w:r w:rsidRPr="006B0E03">
              <w:rPr>
                <w:rFonts w:eastAsia="Times New Roman" w:cs="Times New Roman"/>
                <w:color w:val="000000"/>
                <w:lang w:val="en-US" w:eastAsia="en-US"/>
              </w:rPr>
              <w:t xml:space="preserve">          </w:t>
            </w:r>
          </w:p>
        </w:tc>
      </w:tr>
    </w:tbl>
    <w:p w:rsidR="001E0C9B" w:rsidRDefault="001E0C9B" w:rsidP="0032607F">
      <w:pPr>
        <w:tabs>
          <w:tab w:val="left" w:pos="2552"/>
          <w:tab w:val="left" w:pos="9900"/>
        </w:tabs>
        <w:spacing w:before="140" w:after="140"/>
        <w:ind w:right="72"/>
        <w:jc w:val="both"/>
      </w:pPr>
      <w:r>
        <w:rPr>
          <w:b/>
          <w:bCs/>
        </w:rPr>
        <w:t xml:space="preserve">Purpose: </w:t>
      </w:r>
      <w:r>
        <w:t xml:space="preserve">Experiments carried out on DIII-D in 2008 show that localized electron cyclotron heating (ECH) can drastically alter beam driven Alfven </w:t>
      </w:r>
      <w:proofErr w:type="spellStart"/>
      <w:r>
        <w:t>Eigenmode</w:t>
      </w:r>
      <w:proofErr w:type="spellEnd"/>
      <w:r>
        <w:t xml:space="preserve"> (AE) activity including, in some cases, the stabilization of RSAEs</w:t>
      </w:r>
      <w:r w:rsidRPr="00CC0988">
        <w:rPr>
          <w:vertAlign w:val="superscript"/>
        </w:rPr>
        <w:t>1</w:t>
      </w:r>
      <w:proofErr w:type="gramStart"/>
      <w:r w:rsidRPr="00CC0988">
        <w:rPr>
          <w:vertAlign w:val="superscript"/>
        </w:rPr>
        <w:t>,2</w:t>
      </w:r>
      <w:proofErr w:type="gramEnd"/>
      <w:r>
        <w:t>.  Discharges with stabil</w:t>
      </w:r>
      <w:bookmarkStart w:id="11" w:name="_GoBack"/>
      <w:bookmarkEnd w:id="11"/>
      <w:r>
        <w:t xml:space="preserve">ized or reduced AE activity also exhibited improved fast ion confinement.  The exact cause for the observed impact of ECH on the AE activity in these DIII-D discharges remains to be satisfactorily explained. The problem is complicated by the fact that ECH can have a non-negligible impact on AE drive, damping, and the modes themselves. </w:t>
      </w:r>
    </w:p>
    <w:p w:rsidR="001E0C9B" w:rsidRPr="00F00DA1" w:rsidRDefault="001E0C9B" w:rsidP="0032607F">
      <w:pPr>
        <w:spacing w:before="140" w:after="140"/>
        <w:jc w:val="both"/>
        <w:rPr>
          <w:rFonts w:cs="Times New Roman"/>
        </w:rPr>
      </w:pPr>
      <w:r>
        <w:t xml:space="preserve">The overall goal of this joint experiment is to arrive at an understanding of the dominant mechanisms responsible for ECH modification of AEs and to eventually use this understanding to make a prediction for the impact localized ECH can have on AEs in ITER and future devices. </w:t>
      </w:r>
    </w:p>
    <w:p w:rsidR="001E0C9B" w:rsidRDefault="001E0C9B" w:rsidP="0032607F">
      <w:pPr>
        <w:tabs>
          <w:tab w:val="left" w:pos="1800"/>
          <w:tab w:val="left" w:pos="7560"/>
        </w:tabs>
        <w:spacing w:before="140" w:after="140"/>
        <w:jc w:val="both"/>
      </w:pPr>
      <w:r>
        <w:t>The shorter term goals of the joint experiment are:</w:t>
      </w:r>
    </w:p>
    <w:p w:rsidR="001E0C9B" w:rsidRPr="00BD0347" w:rsidRDefault="001E0C9B" w:rsidP="0032607F">
      <w:pPr>
        <w:numPr>
          <w:ilvl w:val="0"/>
          <w:numId w:val="2"/>
        </w:numPr>
        <w:spacing w:before="140" w:after="140"/>
        <w:ind w:left="357" w:hanging="357"/>
        <w:contextualSpacing/>
        <w:rPr>
          <w:rFonts w:cs="Times New Roman"/>
        </w:rPr>
      </w:pPr>
      <w:r w:rsidRPr="00BD0347">
        <w:t>Test the reproducibility of the DIII-D result on ASDEX-Upgrade</w:t>
      </w:r>
      <w:r>
        <w:t xml:space="preserve"> and other devices </w:t>
      </w:r>
    </w:p>
    <w:p w:rsidR="001E0C9B" w:rsidRPr="00BD0347" w:rsidRDefault="001E0C9B" w:rsidP="0032607F">
      <w:pPr>
        <w:numPr>
          <w:ilvl w:val="0"/>
          <w:numId w:val="2"/>
        </w:numPr>
        <w:spacing w:before="140" w:after="140"/>
        <w:ind w:left="357" w:hanging="357"/>
        <w:contextualSpacing/>
      </w:pPr>
      <w:r w:rsidRPr="00BD0347">
        <w:t xml:space="preserve">Through experiment and modelling </w:t>
      </w:r>
      <w:r>
        <w:t>determine dominant</w:t>
      </w:r>
      <w:r w:rsidRPr="00BD0347">
        <w:t xml:space="preserve"> effect causing change in mode activity</w:t>
      </w:r>
    </w:p>
    <w:p w:rsidR="001E0C9B" w:rsidRDefault="001E0C9B" w:rsidP="0032607F">
      <w:pPr>
        <w:numPr>
          <w:ilvl w:val="0"/>
          <w:numId w:val="2"/>
        </w:numPr>
        <w:spacing w:before="140" w:after="140"/>
        <w:rPr>
          <w:rFonts w:cs="Times New Roman"/>
        </w:rPr>
      </w:pPr>
      <w:r w:rsidRPr="00E8349F">
        <w:t xml:space="preserve">Quantify improvement in fast ion transport </w:t>
      </w:r>
    </w:p>
    <w:p w:rsidR="001E0C9B" w:rsidRDefault="001E0C9B" w:rsidP="0032607F">
      <w:pPr>
        <w:spacing w:before="140" w:after="140"/>
        <w:contextualSpacing/>
        <w:jc w:val="both"/>
        <w:rPr>
          <w:lang w:val="de-DE"/>
        </w:rPr>
      </w:pPr>
      <w:r>
        <w:rPr>
          <w:lang w:val="de-DE"/>
        </w:rPr>
        <w:t>[1]</w:t>
      </w:r>
      <w:r w:rsidRPr="00A24BA2">
        <w:rPr>
          <w:lang w:val="de-DE"/>
        </w:rPr>
        <w:t xml:space="preserve"> M.A. Van Zeeland</w:t>
      </w:r>
      <w:r>
        <w:rPr>
          <w:lang w:val="de-DE"/>
        </w:rPr>
        <w:t>, et.al., PPCF 50 (2008) 035009</w:t>
      </w:r>
    </w:p>
    <w:p w:rsidR="001E0C9B" w:rsidRPr="00B741BA" w:rsidRDefault="001E0C9B" w:rsidP="0032607F">
      <w:pPr>
        <w:spacing w:before="140" w:after="140"/>
        <w:jc w:val="both"/>
        <w:rPr>
          <w:rFonts w:cs="Times New Roman"/>
        </w:rPr>
      </w:pPr>
      <w:r>
        <w:t xml:space="preserve">[2] </w:t>
      </w:r>
      <w:r w:rsidRPr="00CC0988">
        <w:t xml:space="preserve">M.A. Van Zeeland, </w:t>
      </w:r>
      <w:proofErr w:type="gramStart"/>
      <w:r w:rsidRPr="00CC0988">
        <w:t>et.al.,</w:t>
      </w:r>
      <w:proofErr w:type="gramEnd"/>
      <w:r w:rsidRPr="00CC0988">
        <w:t xml:space="preserve"> </w:t>
      </w:r>
      <w:proofErr w:type="spellStart"/>
      <w:r w:rsidRPr="00CC0988">
        <w:t>Nucl</w:t>
      </w:r>
      <w:proofErr w:type="spellEnd"/>
      <w:r w:rsidRPr="00CC0988">
        <w:t>. Fusion 49 (2009) 065003</w:t>
      </w:r>
    </w:p>
    <w:p w:rsidR="001E0C9B" w:rsidRPr="00767156" w:rsidRDefault="001E0C9B" w:rsidP="00370E49">
      <w:pPr>
        <w:spacing w:before="140" w:after="140"/>
        <w:jc w:val="both"/>
        <w:rPr>
          <w:rFonts w:eastAsia="Times New Roman" w:cs="Times New Roman"/>
          <w:b/>
          <w:bCs/>
          <w:lang w:val="en-US" w:eastAsia="en-US"/>
        </w:rPr>
      </w:pPr>
      <w:r>
        <w:rPr>
          <w:rFonts w:eastAsia="Times New Roman" w:cs="Times New Roman"/>
          <w:b/>
          <w:bCs/>
          <w:lang w:val="en-US" w:eastAsia="en-US"/>
        </w:rPr>
        <w:t>Results for 2015</w:t>
      </w:r>
    </w:p>
    <w:p w:rsidR="001E0C9B" w:rsidRPr="00767156" w:rsidRDefault="001E0C9B" w:rsidP="00370E49">
      <w:pPr>
        <w:widowControl w:val="0"/>
        <w:autoSpaceDE w:val="0"/>
        <w:autoSpaceDN w:val="0"/>
        <w:adjustRightInd w:val="0"/>
        <w:spacing w:before="140" w:after="140"/>
        <w:jc w:val="both"/>
        <w:rPr>
          <w:lang w:val="en-US"/>
        </w:rPr>
      </w:pPr>
      <w:r>
        <w:rPr>
          <w:lang w:val="en-US"/>
        </w:rPr>
        <w:t xml:space="preserve">In 2015, </w:t>
      </w:r>
      <w:r w:rsidRPr="00767156">
        <w:rPr>
          <w:lang w:val="en-US"/>
        </w:rPr>
        <w:t xml:space="preserve">experiments </w:t>
      </w:r>
      <w:r>
        <w:rPr>
          <w:lang w:val="en-US"/>
        </w:rPr>
        <w:t xml:space="preserve">and analyses </w:t>
      </w:r>
      <w:r w:rsidRPr="00767156">
        <w:rPr>
          <w:lang w:val="en-US"/>
        </w:rPr>
        <w:t>were carried ou</w:t>
      </w:r>
      <w:r>
        <w:rPr>
          <w:lang w:val="en-US"/>
        </w:rPr>
        <w:t xml:space="preserve">t worldwide in support of EP-7 on </w:t>
      </w:r>
      <w:r w:rsidRPr="00767156">
        <w:rPr>
          <w:lang w:val="en-US"/>
        </w:rPr>
        <w:t>DIII</w:t>
      </w:r>
      <w:r>
        <w:rPr>
          <w:lang w:val="en-US"/>
        </w:rPr>
        <w:t>-D, AUG, and TJ-II</w:t>
      </w:r>
      <w:r w:rsidRPr="00767156">
        <w:rPr>
          <w:lang w:val="en-US"/>
        </w:rPr>
        <w:t xml:space="preserve">.   </w:t>
      </w:r>
    </w:p>
    <w:p w:rsidR="001E0C9B" w:rsidRDefault="001E0C9B" w:rsidP="00370E49">
      <w:pPr>
        <w:numPr>
          <w:ilvl w:val="0"/>
          <w:numId w:val="4"/>
        </w:numPr>
        <w:spacing w:before="140" w:after="140"/>
        <w:jc w:val="both"/>
        <w:rPr>
          <w:rFonts w:eastAsia="MS ??"/>
          <w:lang w:val="en-US" w:eastAsia="en-US"/>
        </w:rPr>
      </w:pPr>
      <w:r w:rsidRPr="00767156">
        <w:rPr>
          <w:rFonts w:eastAsia="MS ??"/>
          <w:lang w:val="en-US" w:eastAsia="en-US"/>
        </w:rPr>
        <w:t xml:space="preserve">A DIII-D experiment </w:t>
      </w:r>
      <w:r>
        <w:rPr>
          <w:rFonts w:eastAsia="MS ??"/>
          <w:lang w:val="en-US" w:eastAsia="en-US"/>
        </w:rPr>
        <w:t xml:space="preserve">was performed in hybrid scenario showing the high efficiency of ECCD in affecting </w:t>
      </w:r>
      <w:proofErr w:type="spellStart"/>
      <w:r>
        <w:rPr>
          <w:rFonts w:eastAsia="MS ??"/>
          <w:lang w:val="en-US" w:eastAsia="en-US"/>
        </w:rPr>
        <w:t>Alfvén</w:t>
      </w:r>
      <w:proofErr w:type="spellEnd"/>
      <w:r>
        <w:rPr>
          <w:rFonts w:eastAsia="MS ??"/>
          <w:lang w:val="en-US" w:eastAsia="en-US"/>
        </w:rPr>
        <w:t xml:space="preserve"> </w:t>
      </w:r>
      <w:proofErr w:type="spellStart"/>
      <w:r>
        <w:rPr>
          <w:rFonts w:eastAsia="MS ??"/>
          <w:lang w:val="en-US" w:eastAsia="en-US"/>
        </w:rPr>
        <w:t>eigenmodes</w:t>
      </w:r>
      <w:proofErr w:type="spellEnd"/>
      <w:r>
        <w:rPr>
          <w:rFonts w:eastAsia="MS ??"/>
          <w:lang w:val="en-US" w:eastAsia="en-US"/>
        </w:rPr>
        <w:t xml:space="preserve">. </w:t>
      </w:r>
    </w:p>
    <w:p w:rsidR="001E0C9B" w:rsidRDefault="001E0C9B" w:rsidP="00370E49">
      <w:pPr>
        <w:numPr>
          <w:ilvl w:val="0"/>
          <w:numId w:val="4"/>
        </w:numPr>
        <w:spacing w:before="140" w:after="140"/>
        <w:jc w:val="both"/>
        <w:rPr>
          <w:rFonts w:eastAsia="MS ??"/>
          <w:lang w:val="en-US" w:eastAsia="en-US"/>
        </w:rPr>
      </w:pPr>
      <w:r>
        <w:rPr>
          <w:rFonts w:eastAsia="MS ??"/>
          <w:lang w:val="en-US" w:eastAsia="en-US"/>
        </w:rPr>
        <w:t xml:space="preserve">In parallel, analysis of DIII-D experiments on AE suppression during current ramp-up </w:t>
      </w:r>
      <w:proofErr w:type="gramStart"/>
      <w:r>
        <w:rPr>
          <w:rFonts w:eastAsia="MS ??"/>
          <w:lang w:val="en-US" w:eastAsia="en-US"/>
        </w:rPr>
        <w:t>phase,</w:t>
      </w:r>
      <w:proofErr w:type="gramEnd"/>
      <w:r>
        <w:rPr>
          <w:rFonts w:eastAsia="MS ??"/>
          <w:lang w:val="en-US" w:eastAsia="en-US"/>
        </w:rPr>
        <w:t xml:space="preserve"> has been completed. It was found that the original ECH/AE </w:t>
      </w:r>
      <w:proofErr w:type="gramStart"/>
      <w:r>
        <w:rPr>
          <w:rFonts w:eastAsia="MS ??"/>
          <w:lang w:val="en-US" w:eastAsia="en-US"/>
        </w:rPr>
        <w:t>effect</w:t>
      </w:r>
      <w:proofErr w:type="gramEnd"/>
      <w:r>
        <w:rPr>
          <w:rFonts w:eastAsia="MS ??"/>
          <w:lang w:val="en-US" w:eastAsia="en-US"/>
        </w:rPr>
        <w:t xml:space="preserve"> in which ECH near </w:t>
      </w:r>
      <w:proofErr w:type="spellStart"/>
      <w:r>
        <w:rPr>
          <w:rFonts w:eastAsia="MS ??"/>
          <w:lang w:val="en-US" w:eastAsia="en-US"/>
        </w:rPr>
        <w:t>qmin</w:t>
      </w:r>
      <w:proofErr w:type="spellEnd"/>
      <w:r>
        <w:rPr>
          <w:rFonts w:eastAsia="MS ??"/>
          <w:lang w:val="en-US" w:eastAsia="en-US"/>
        </w:rPr>
        <w:t xml:space="preserve"> was observed to stabilize RSAEs, is caused by the effect of high pressure and high pressure gradient driven by ECH.  At the high-q equilibrium, the effect of high pressure shrinks the frequency band between geodesic acoustic modes and TAE, where RSAE exist, similarly to the high-beta effect previously reported from NSTX. The DIII-D results were reported at the IAEA EP </w:t>
      </w:r>
      <w:smartTag w:uri="urn:schemas-microsoft-com:office:smarttags" w:element="stockticker">
        <w:r>
          <w:rPr>
            <w:rFonts w:eastAsia="MS ??"/>
            <w:lang w:val="en-US" w:eastAsia="en-US"/>
          </w:rPr>
          <w:t>TCM</w:t>
        </w:r>
      </w:smartTag>
      <w:r>
        <w:rPr>
          <w:rFonts w:eastAsia="MS ??"/>
          <w:lang w:val="en-US" w:eastAsia="en-US"/>
        </w:rPr>
        <w:t xml:space="preserve"> in </w:t>
      </w:r>
      <w:smartTag w:uri="urn:schemas-microsoft-com:office:smarttags" w:element="place">
        <w:smartTag w:uri="urn:schemas-microsoft-com:office:smarttags" w:element="City">
          <w:r>
            <w:rPr>
              <w:rFonts w:eastAsia="MS ??"/>
              <w:lang w:val="en-US" w:eastAsia="en-US"/>
            </w:rPr>
            <w:t>Vienna</w:t>
          </w:r>
        </w:smartTag>
      </w:smartTag>
      <w:r>
        <w:rPr>
          <w:rFonts w:eastAsia="MS ??"/>
          <w:lang w:val="en-US" w:eastAsia="en-US"/>
        </w:rPr>
        <w:t xml:space="preserve"> (1-4 September 2015) and were received well.</w:t>
      </w:r>
    </w:p>
    <w:p w:rsidR="001E0C9B" w:rsidRPr="00B64DCA" w:rsidRDefault="001E0C9B" w:rsidP="00370E49">
      <w:pPr>
        <w:numPr>
          <w:ilvl w:val="0"/>
          <w:numId w:val="4"/>
        </w:numPr>
        <w:spacing w:before="140" w:after="140"/>
        <w:jc w:val="both"/>
        <w:rPr>
          <w:rFonts w:eastAsia="MS ??" w:cs="Times New Roman"/>
          <w:lang w:val="en-US" w:eastAsia="en-US"/>
        </w:rPr>
      </w:pPr>
      <w:r w:rsidRPr="00981A27">
        <w:rPr>
          <w:rFonts w:eastAsia="MS ??"/>
          <w:lang w:val="en-US" w:eastAsia="en-US"/>
        </w:rPr>
        <w:lastRenderedPageBreak/>
        <w:t xml:space="preserve">AUG experiments </w:t>
      </w:r>
      <w:r>
        <w:rPr>
          <w:rFonts w:eastAsia="MS ??"/>
          <w:lang w:val="en-US" w:eastAsia="en-US"/>
        </w:rPr>
        <w:t>with NBI and an ECH deposition location scan during the current ramp (in successive discharges) were continued. In addition, AUG e</w:t>
      </w:r>
      <w:r w:rsidRPr="00B64DCA">
        <w:rPr>
          <w:rFonts w:eastAsia="MS ??"/>
          <w:lang w:val="en-US" w:eastAsia="en-US"/>
        </w:rPr>
        <w:t>xperiments were also carri</w:t>
      </w:r>
      <w:r>
        <w:rPr>
          <w:rFonts w:eastAsia="MS ??"/>
          <w:lang w:val="en-US" w:eastAsia="en-US"/>
        </w:rPr>
        <w:t xml:space="preserve">ed out with early NBI heating followed by </w:t>
      </w:r>
      <w:r w:rsidRPr="00B64DCA">
        <w:rPr>
          <w:rFonts w:eastAsia="MS ??"/>
          <w:lang w:val="en-US" w:eastAsia="en-US"/>
        </w:rPr>
        <w:t xml:space="preserve">H minority ion cyclotron heating </w:t>
      </w:r>
      <w:r>
        <w:rPr>
          <w:rFonts w:eastAsia="MS ??"/>
          <w:lang w:val="en-US" w:eastAsia="en-US"/>
        </w:rPr>
        <w:t>(</w:t>
      </w:r>
      <w:smartTag w:uri="urn:schemas-microsoft-com:office:smarttags" w:element="stockticker">
        <w:r>
          <w:rPr>
            <w:rFonts w:eastAsia="MS ??"/>
            <w:lang w:val="en-US" w:eastAsia="en-US"/>
          </w:rPr>
          <w:t>ICH</w:t>
        </w:r>
      </w:smartTag>
      <w:r>
        <w:rPr>
          <w:rFonts w:eastAsia="MS ??"/>
          <w:lang w:val="en-US" w:eastAsia="en-US"/>
        </w:rPr>
        <w:t>) .</w:t>
      </w:r>
      <w:r w:rsidRPr="00B64DCA">
        <w:rPr>
          <w:rFonts w:eastAsia="MS ??"/>
          <w:lang w:val="en-US" w:eastAsia="en-US"/>
        </w:rPr>
        <w:t xml:space="preserve"> The goal of these exploratory discharges was to evaluate the impact of ECH on RF tail driven AEs. </w:t>
      </w:r>
      <w:r>
        <w:rPr>
          <w:rFonts w:eastAsia="MS ??"/>
          <w:lang w:val="en-US" w:eastAsia="en-US"/>
        </w:rPr>
        <w:t xml:space="preserve"> The data obtained show TAEs are preferentially driven by </w:t>
      </w:r>
      <w:smartTag w:uri="urn:schemas-microsoft-com:office:smarttags" w:element="stockticker">
        <w:r>
          <w:rPr>
            <w:rFonts w:eastAsia="MS ??"/>
            <w:lang w:val="en-US" w:eastAsia="en-US"/>
          </w:rPr>
          <w:t>ICH</w:t>
        </w:r>
      </w:smartTag>
      <w:r>
        <w:rPr>
          <w:rFonts w:eastAsia="MS ??"/>
          <w:lang w:val="en-US" w:eastAsia="en-US"/>
        </w:rPr>
        <w:t xml:space="preserve"> in these plasmas, and with ECH near </w:t>
      </w:r>
      <w:proofErr w:type="spellStart"/>
      <w:r>
        <w:rPr>
          <w:rFonts w:eastAsia="MS ??"/>
          <w:lang w:val="en-US" w:eastAsia="en-US"/>
        </w:rPr>
        <w:t>qmin</w:t>
      </w:r>
      <w:proofErr w:type="spellEnd"/>
      <w:r>
        <w:rPr>
          <w:rFonts w:eastAsia="MS ??"/>
          <w:lang w:val="en-US" w:eastAsia="en-US"/>
        </w:rPr>
        <w:t xml:space="preserve">, RSAEs were in fact also observed. </w:t>
      </w:r>
    </w:p>
    <w:p w:rsidR="001E0C9B" w:rsidRPr="00607DD9" w:rsidRDefault="001E0C9B" w:rsidP="00370E49">
      <w:pPr>
        <w:numPr>
          <w:ilvl w:val="0"/>
          <w:numId w:val="4"/>
        </w:numPr>
        <w:spacing w:before="140" w:after="140"/>
        <w:jc w:val="both"/>
        <w:rPr>
          <w:rFonts w:eastAsia="Times New Roman" w:cs="Times New Roman"/>
          <w:b/>
          <w:bCs/>
          <w:lang w:val="en-US" w:eastAsia="en-US"/>
        </w:rPr>
      </w:pPr>
      <w:r>
        <w:rPr>
          <w:rFonts w:eastAsia="MS ??"/>
          <w:lang w:val="en-US" w:eastAsia="en-US"/>
        </w:rPr>
        <w:t xml:space="preserve">TJ-II experiments </w:t>
      </w:r>
      <w:r w:rsidRPr="00607DD9">
        <w:rPr>
          <w:rFonts w:eastAsia="MS ??"/>
          <w:lang w:val="en-US" w:eastAsia="en-US"/>
        </w:rPr>
        <w:t>show</w:t>
      </w:r>
      <w:r>
        <w:rPr>
          <w:rFonts w:eastAsia="MS ??"/>
          <w:lang w:val="en-US" w:eastAsia="en-US"/>
        </w:rPr>
        <w:t>ing that</w:t>
      </w:r>
      <w:r w:rsidRPr="00607DD9">
        <w:rPr>
          <w:rFonts w:eastAsia="MS ??"/>
          <w:lang w:val="en-US" w:eastAsia="en-US"/>
        </w:rPr>
        <w:t xml:space="preserve"> </w:t>
      </w:r>
      <w:r>
        <w:rPr>
          <w:rFonts w:eastAsia="MS ??"/>
          <w:lang w:val="en-US" w:eastAsia="en-US"/>
        </w:rPr>
        <w:t xml:space="preserve">AEs can be changed radically by application of ECH, were further </w:t>
      </w:r>
      <w:proofErr w:type="spellStart"/>
      <w:r>
        <w:rPr>
          <w:rFonts w:eastAsia="MS ??"/>
          <w:lang w:val="en-US" w:eastAsia="en-US"/>
        </w:rPr>
        <w:t>analysed</w:t>
      </w:r>
      <w:proofErr w:type="spellEnd"/>
      <w:r>
        <w:rPr>
          <w:rFonts w:eastAsia="MS ??"/>
          <w:lang w:val="en-US" w:eastAsia="en-US"/>
        </w:rPr>
        <w:t xml:space="preserve">. Depending on ECH deposition location, AEs can go from chirping to steady frequency and lower amplitude with lower amplitude corresponding to deposition at or inside of the mode location. </w:t>
      </w:r>
    </w:p>
    <w:p w:rsidR="001E0C9B" w:rsidRPr="00893F64" w:rsidRDefault="001E0C9B" w:rsidP="00370E49">
      <w:pPr>
        <w:spacing w:before="140" w:after="140"/>
        <w:jc w:val="both"/>
        <w:rPr>
          <w:rFonts w:eastAsia="Times New Roman" w:cs="Times New Roman"/>
          <w:b/>
          <w:bCs/>
          <w:lang w:val="en-US" w:eastAsia="en-US"/>
        </w:rPr>
      </w:pPr>
      <w:r>
        <w:rPr>
          <w:rFonts w:eastAsia="Times New Roman" w:cs="Times New Roman"/>
          <w:b/>
          <w:bCs/>
          <w:lang w:val="en-US" w:eastAsia="en-US"/>
        </w:rPr>
        <w:t>Plans for 2016</w:t>
      </w:r>
    </w:p>
    <w:p w:rsidR="001E0C9B" w:rsidRDefault="001E0C9B" w:rsidP="00370E49">
      <w:pPr>
        <w:numPr>
          <w:ilvl w:val="0"/>
          <w:numId w:val="4"/>
        </w:numPr>
        <w:spacing w:before="140" w:after="140"/>
        <w:jc w:val="both"/>
        <w:rPr>
          <w:rFonts w:eastAsia="MS ??"/>
          <w:lang w:val="en-US" w:eastAsia="en-US"/>
        </w:rPr>
      </w:pPr>
      <w:r>
        <w:rPr>
          <w:rFonts w:eastAsia="MS ??"/>
          <w:lang w:val="en-US" w:eastAsia="en-US"/>
        </w:rPr>
        <w:t>The</w:t>
      </w:r>
      <w:r w:rsidRPr="00981A27">
        <w:rPr>
          <w:rFonts w:eastAsia="MS ??"/>
          <w:lang w:val="en-US" w:eastAsia="en-US"/>
        </w:rPr>
        <w:t xml:space="preserve"> explanation for </w:t>
      </w:r>
      <w:r>
        <w:rPr>
          <w:rFonts w:eastAsia="MS ??"/>
          <w:lang w:val="en-US" w:eastAsia="en-US"/>
        </w:rPr>
        <w:t xml:space="preserve">the </w:t>
      </w:r>
      <w:r w:rsidRPr="00981A27">
        <w:rPr>
          <w:rFonts w:eastAsia="MS ??"/>
          <w:lang w:val="en-US" w:eastAsia="en-US"/>
        </w:rPr>
        <w:t xml:space="preserve">ECH impact on RSAE stability </w:t>
      </w:r>
      <w:r>
        <w:rPr>
          <w:rFonts w:eastAsia="MS ??"/>
          <w:lang w:val="en-US" w:eastAsia="en-US"/>
        </w:rPr>
        <w:t>is now given in terms of high-beta effect at high-q, and it is</w:t>
      </w:r>
      <w:r w:rsidRPr="00981A27">
        <w:rPr>
          <w:rFonts w:eastAsia="MS ??"/>
          <w:lang w:val="en-US" w:eastAsia="en-US"/>
        </w:rPr>
        <w:t xml:space="preserve"> consistent with range of available data</w:t>
      </w:r>
      <w:r>
        <w:rPr>
          <w:rFonts w:eastAsia="MS ??"/>
          <w:lang w:val="en-US" w:eastAsia="en-US"/>
        </w:rPr>
        <w:t xml:space="preserve"> from DIII-D and AUG</w:t>
      </w:r>
      <w:r w:rsidRPr="00981A27">
        <w:rPr>
          <w:rFonts w:eastAsia="MS ??"/>
          <w:lang w:val="en-US" w:eastAsia="en-US"/>
        </w:rPr>
        <w:t xml:space="preserve">. It is </w:t>
      </w:r>
      <w:r>
        <w:rPr>
          <w:rFonts w:eastAsia="MS ??"/>
          <w:lang w:val="en-US" w:eastAsia="en-US"/>
        </w:rPr>
        <w:t xml:space="preserve">proposed that the experiment will be closed in 2016, after the final dedicated set of discharges will be performed on AUG and </w:t>
      </w:r>
      <w:proofErr w:type="spellStart"/>
      <w:r>
        <w:rPr>
          <w:rFonts w:eastAsia="MS ??"/>
          <w:lang w:val="en-US" w:eastAsia="en-US"/>
        </w:rPr>
        <w:t>analysed</w:t>
      </w:r>
      <w:proofErr w:type="spellEnd"/>
      <w:r>
        <w:rPr>
          <w:rFonts w:eastAsia="MS ??"/>
          <w:lang w:val="en-US" w:eastAsia="en-US"/>
        </w:rPr>
        <w:t xml:space="preserve">. </w:t>
      </w:r>
      <w:bookmarkEnd w:id="2"/>
      <w:bookmarkEnd w:id="3"/>
      <w:bookmarkEnd w:id="4"/>
      <w:bookmarkEnd w:id="5"/>
      <w:bookmarkEnd w:id="6"/>
      <w:bookmarkEnd w:id="7"/>
      <w:bookmarkEnd w:id="8"/>
      <w:bookmarkEnd w:id="9"/>
      <w:bookmarkEnd w:id="10"/>
      <w:r>
        <w:rPr>
          <w:rFonts w:eastAsia="MS ??"/>
          <w:lang w:val="en-US" w:eastAsia="en-US"/>
        </w:rPr>
        <w:t xml:space="preserve">Two papers are planned for submission to the Special Issue Nuclear Fusion devoted to the IAEA EP </w:t>
      </w:r>
      <w:smartTag w:uri="urn:schemas-microsoft-com:office:smarttags" w:element="stockticker">
        <w:r>
          <w:rPr>
            <w:rFonts w:eastAsia="MS ??"/>
            <w:lang w:val="en-US" w:eastAsia="en-US"/>
          </w:rPr>
          <w:t>TCM</w:t>
        </w:r>
      </w:smartTag>
      <w:r>
        <w:rPr>
          <w:rFonts w:eastAsia="MS ??"/>
          <w:lang w:val="en-US" w:eastAsia="en-US"/>
        </w:rPr>
        <w:t xml:space="preserve"> presentations. </w:t>
      </w:r>
    </w:p>
    <w:p w:rsidR="001E0C9B" w:rsidRDefault="001E0C9B" w:rsidP="00370E49">
      <w:pPr>
        <w:numPr>
          <w:ilvl w:val="0"/>
          <w:numId w:val="4"/>
        </w:numPr>
        <w:spacing w:before="140" w:after="140"/>
        <w:jc w:val="both"/>
        <w:rPr>
          <w:rFonts w:eastAsia="MS ??" w:cs="Times New Roman"/>
          <w:lang w:val="en-US" w:eastAsia="en-US"/>
        </w:rPr>
      </w:pPr>
      <w:r>
        <w:rPr>
          <w:rFonts w:eastAsia="MS ??"/>
          <w:lang w:val="en-US" w:eastAsia="en-US"/>
        </w:rPr>
        <w:t>Taking into account a wide variety of observations with ECH/ECCD affecting AEs other, than RSAEs, a possibility of new Joint Experiment will be considered, most likely focused on TAE modes.</w:t>
      </w:r>
    </w:p>
    <w:p w:rsidR="001E0C9B" w:rsidRDefault="001E0C9B" w:rsidP="00370E49">
      <w:pPr>
        <w:spacing w:before="140" w:after="140"/>
        <w:jc w:val="both"/>
      </w:pPr>
      <w:r w:rsidRPr="00B741BA">
        <w:rPr>
          <w:b/>
          <w:bCs/>
        </w:rPr>
        <w:t>Previous results</w:t>
      </w:r>
      <w:r>
        <w:rPr>
          <w:b/>
          <w:bCs/>
        </w:rPr>
        <w:t xml:space="preserve">: </w:t>
      </w:r>
      <w:r>
        <w:t xml:space="preserve">In 2013, extensive work related to EP-7 was carried out on the TJ-II </w:t>
      </w:r>
      <w:proofErr w:type="spellStart"/>
      <w:r>
        <w:t>stellarator</w:t>
      </w:r>
      <w:proofErr w:type="spellEnd"/>
      <w:r>
        <w:t>. In TJ-II experiments, ECH is observed to significantly alter beam driven AE activity. Three of the primary findings from the TJ-II work are: 1) ECH causes steady frequency AEs to decrease in amplitude and begin chirping. Continuous frequency modes are recovered within 2ms when ECH is switched off.  2) At higher density, reduction in mode amplitude is not as large and chirping repetition frequency increases. 3) At higher ECH power, mode amplitudes can be reduced further. Since there is a transition to chirping and back, the TJ-II findings can also obviously contribute to EP-4 “</w:t>
      </w:r>
      <w:r w:rsidRPr="00526E8C">
        <w:t>Effect of dynamical friction (drag) at resonance on nonlinear AE evolution</w:t>
      </w:r>
      <w:r>
        <w:t xml:space="preserve">”.   A portion of the TJ-II work was summarized in K. Nagaoka, et.al. </w:t>
      </w:r>
      <w:proofErr w:type="spellStart"/>
      <w:r w:rsidRPr="00856B7E">
        <w:t>Nucl</w:t>
      </w:r>
      <w:proofErr w:type="spellEnd"/>
      <w:r w:rsidRPr="00856B7E">
        <w:t>. Fusion 53 (2013) 072004</w:t>
      </w:r>
      <w:r>
        <w:t>.</w:t>
      </w:r>
    </w:p>
    <w:p w:rsidR="001E0C9B" w:rsidRDefault="001E0C9B" w:rsidP="00370E49">
      <w:pPr>
        <w:spacing w:before="140" w:after="140"/>
        <w:jc w:val="both"/>
      </w:pPr>
      <w:r>
        <w:t xml:space="preserve">At ASDEX Upgrade, data from 2008 was looked at again and it was found that discharges with ECH inside of, but near </w:t>
      </w:r>
      <w:proofErr w:type="spellStart"/>
      <w:r>
        <w:t>q</w:t>
      </w:r>
      <w:r w:rsidRPr="00D5449B">
        <w:rPr>
          <w:vertAlign w:val="subscript"/>
        </w:rPr>
        <w:t>min</w:t>
      </w:r>
      <w:proofErr w:type="spellEnd"/>
      <w:r w:rsidRPr="001C30A5">
        <w:t>,</w:t>
      </w:r>
      <w:r>
        <w:t xml:space="preserve"> had significant RSAE activity. Additionally, it was found that ECH could alter </w:t>
      </w:r>
      <w:smartTag w:uri="urn:schemas-microsoft-com:office:smarttags" w:element="stockticker">
        <w:r>
          <w:t>BAE</w:t>
        </w:r>
      </w:smartTag>
      <w:r>
        <w:t xml:space="preserve"> activity. When ECH was injected, the </w:t>
      </w:r>
      <w:smartTag w:uri="urn:schemas-microsoft-com:office:smarttags" w:element="stockticker">
        <w:r>
          <w:t>BAE</w:t>
        </w:r>
      </w:smartTag>
      <w:r>
        <w:t xml:space="preserve"> frequency chirp range was extended and mode amplitudes were enhanced.  In 2013, three new discharges, intended to be similar to the original DIII-D experiments, were dedicated to EP-7 in which ECH was injected near </w:t>
      </w:r>
      <w:proofErr w:type="spellStart"/>
      <w:r>
        <w:t>q</w:t>
      </w:r>
      <w:r w:rsidRPr="0057093B">
        <w:rPr>
          <w:vertAlign w:val="subscript"/>
        </w:rPr>
        <w:t>min</w:t>
      </w:r>
      <w:proofErr w:type="spellEnd"/>
      <w:r>
        <w:t xml:space="preserve"> or near the magnetic axis during the current ramp phase. These discharges had early beam heating and, without ECH, had robust AE activity including RSAEs and TAEs. The discharge with ECH near the magnetic axis has clear RSAE activity. With ECH near </w:t>
      </w:r>
      <w:proofErr w:type="spellStart"/>
      <w:r>
        <w:t>q</w:t>
      </w:r>
      <w:r w:rsidRPr="001C30A5">
        <w:rPr>
          <w:vertAlign w:val="subscript"/>
        </w:rPr>
        <w:t>min</w:t>
      </w:r>
      <w:proofErr w:type="spellEnd"/>
      <w:r>
        <w:t xml:space="preserve">, the AE activity early on is weaker and significantly different than the on-axis case at later times, being more TAE-like as opposed to primarily RSAEs.  Unfortunately, the density was not matched well in these two discharges and, although a difference in mode activity was observed, future experiments will be required.  </w:t>
      </w:r>
    </w:p>
    <w:p w:rsidR="001E0C9B" w:rsidRDefault="001E0C9B" w:rsidP="00370E49">
      <w:pPr>
        <w:spacing w:before="140" w:after="140"/>
        <w:jc w:val="both"/>
      </w:pPr>
      <w:r>
        <w:t xml:space="preserve">In KSTAR, ECH was injected early during the current ramp portion of a 2T monotonic shear plasma with early beam heating. Without ECH, a combination of n=1 and n=2 EPM-like relatively broadband activity is present. With ECH, the n=2 activity appears to be suppressed.  </w:t>
      </w:r>
    </w:p>
    <w:p w:rsidR="001E0C9B" w:rsidRDefault="001E0C9B" w:rsidP="00370E49">
      <w:pPr>
        <w:spacing w:before="140" w:after="140"/>
        <w:jc w:val="both"/>
      </w:pPr>
      <w:r>
        <w:t xml:space="preserve">EP-7 experiments in LHD found a significant change in mode activity with application of ECH near the magnetic axis. Depending on ECH power, RSAE activity was suppressed, with more ECH power being more efficient. It is speculated that the suppression may be due to enhanced EP pressure, i.e. the excitation </w:t>
      </w:r>
      <w:r>
        <w:lastRenderedPageBreak/>
        <w:t xml:space="preserve">condition </w:t>
      </w:r>
      <w:proofErr w:type="spellStart"/>
      <w:r>
        <w:t>Qgrad</w:t>
      </w:r>
      <w:proofErr w:type="spellEnd"/>
      <w:r>
        <w:t xml:space="preserve"> &gt; </w:t>
      </w:r>
      <w:proofErr w:type="spellStart"/>
      <w:r>
        <w:t>Qhot</w:t>
      </w:r>
      <w:proofErr w:type="spellEnd"/>
      <w:r>
        <w:t xml:space="preserve"> in K. Toi et.al. </w:t>
      </w:r>
      <w:smartTag w:uri="urn:schemas-microsoft-com:office:smarttags" w:element="stockticker">
        <w:r>
          <w:t>PRL</w:t>
        </w:r>
      </w:smartTag>
      <w:r>
        <w:t xml:space="preserve"> (2010) may be violated. It was also observed that ECH destabilizes low frequency n=2 and n=3 modes which may be BAEs. </w:t>
      </w:r>
    </w:p>
    <w:p w:rsidR="001E0C9B" w:rsidRDefault="001E0C9B" w:rsidP="00370E49">
      <w:pPr>
        <w:spacing w:before="140" w:after="140"/>
        <w:jc w:val="both"/>
      </w:pPr>
      <w:r>
        <w:t xml:space="preserve">To take advantage of recent diagnostic upgrades and have improved equilibria as well as mode measurements for </w:t>
      </w:r>
      <w:proofErr w:type="spellStart"/>
      <w:r>
        <w:t>modeling</w:t>
      </w:r>
      <w:proofErr w:type="spellEnd"/>
      <w:r>
        <w:t>, two EP-7 discharges were carried out on DIII-D in 2013. The goal of these discharges was to re-create the ECH on-axis and near-</w:t>
      </w:r>
      <w:proofErr w:type="spellStart"/>
      <w:r>
        <w:t>q</w:t>
      </w:r>
      <w:r w:rsidRPr="001A0C2B">
        <w:rPr>
          <w:vertAlign w:val="subscript"/>
        </w:rPr>
        <w:t>min</w:t>
      </w:r>
      <w:proofErr w:type="spellEnd"/>
      <w:r>
        <w:t xml:space="preserve"> cases. The effect observed in 2008 was reproduced immediately - for ECH near </w:t>
      </w:r>
      <w:proofErr w:type="spellStart"/>
      <w:r>
        <w:t>q</w:t>
      </w:r>
      <w:r w:rsidRPr="00ED5C32">
        <w:rPr>
          <w:vertAlign w:val="subscript"/>
        </w:rPr>
        <w:t>min</w:t>
      </w:r>
      <w:proofErr w:type="spellEnd"/>
      <w:r>
        <w:t xml:space="preserve">, RSAE suppression was found and for ECH near the magnetic axis, strong RSAE activity was observed.  In the same discharges FIDA profiles show ~30% higher central fast ion density for ECH deposition near </w:t>
      </w:r>
      <w:proofErr w:type="spellStart"/>
      <w:r>
        <w:t>q</w:t>
      </w:r>
      <w:r w:rsidRPr="00C77408">
        <w:rPr>
          <w:vertAlign w:val="subscript"/>
        </w:rPr>
        <w:t>min</w:t>
      </w:r>
      <w:proofErr w:type="spellEnd"/>
      <w:r>
        <w:t xml:space="preserve">, in contrast to the classical expectation of lower central fast ion density when compared to discharges ECH near the magnetic axis. These measurements support the idea that EP confinement is improved with reduced RSAE activity.  Using these two discharges, modelling using the </w:t>
      </w:r>
      <w:proofErr w:type="spellStart"/>
      <w:r>
        <w:t>gyrofluid</w:t>
      </w:r>
      <w:proofErr w:type="spellEnd"/>
      <w:r>
        <w:t xml:space="preserve"> code TAEFL and </w:t>
      </w:r>
      <w:proofErr w:type="spellStart"/>
      <w:r>
        <w:t>gyrokinetic</w:t>
      </w:r>
      <w:proofErr w:type="spellEnd"/>
      <w:r>
        <w:t xml:space="preserve"> code GTC has begun.  Initial results are consistent with a stabilization of RSAEs for ECH deposition near </w:t>
      </w:r>
      <w:proofErr w:type="spellStart"/>
      <w:r>
        <w:t>q</w:t>
      </w:r>
      <w:r w:rsidRPr="00CB124C">
        <w:rPr>
          <w:vertAlign w:val="subscript"/>
        </w:rPr>
        <w:t>min</w:t>
      </w:r>
      <w:proofErr w:type="spellEnd"/>
      <w:r>
        <w:t xml:space="preserve">.  </w:t>
      </w:r>
    </w:p>
    <w:p w:rsidR="001E0C9B" w:rsidRDefault="001E0C9B" w:rsidP="00370E49">
      <w:pPr>
        <w:spacing w:before="140" w:after="140"/>
        <w:jc w:val="both"/>
      </w:pPr>
      <w:r>
        <w:t xml:space="preserve">In general, there has been a lot of interest both experimentally and theoretically in EP-7. ECH has been clearly established as a useful tool for EP physics capable of impacting AEs and other EP instabilities.  LHD, TJ-II, AUG, KSTAR, HL-2A, </w:t>
      </w:r>
      <w:proofErr w:type="spellStart"/>
      <w:r>
        <w:t>Heliotron</w:t>
      </w:r>
      <w:proofErr w:type="spellEnd"/>
      <w:r>
        <w:t xml:space="preserve"> J, and DIII-D have all observed significant modification of AE activity with ECH.   </w:t>
      </w:r>
    </w:p>
    <w:p w:rsidR="001E0C9B" w:rsidRPr="00767156" w:rsidRDefault="001E0C9B" w:rsidP="00370E49">
      <w:pPr>
        <w:spacing w:before="140" w:after="140"/>
        <w:jc w:val="both"/>
        <w:rPr>
          <w:rFonts w:eastAsia="MS ??" w:cs="Times New Roman"/>
          <w:lang w:eastAsia="en-US"/>
        </w:rPr>
      </w:pPr>
    </w:p>
    <w:sectPr w:rsidR="001E0C9B" w:rsidRPr="00767156" w:rsidSect="007B3A41">
      <w:footerReference w:type="even" r:id="rId8"/>
      <w:footerReference w:type="default" r:id="rId9"/>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9B" w:rsidRDefault="001E0C9B">
      <w:pPr>
        <w:spacing w:after="0" w:line="240" w:lineRule="auto"/>
        <w:rPr>
          <w:rFonts w:cs="Times New Roman"/>
        </w:rPr>
      </w:pPr>
      <w:r>
        <w:rPr>
          <w:rFonts w:cs="Times New Roman"/>
        </w:rPr>
        <w:separator/>
      </w:r>
    </w:p>
    <w:p w:rsidR="001E0C9B" w:rsidRDefault="001E0C9B">
      <w:pPr>
        <w:rPr>
          <w:rFonts w:cs="Times New Roman"/>
        </w:rPr>
      </w:pPr>
    </w:p>
  </w:endnote>
  <w:endnote w:type="continuationSeparator" w:id="0">
    <w:p w:rsidR="001E0C9B" w:rsidRDefault="001E0C9B">
      <w:pPr>
        <w:spacing w:after="0" w:line="240" w:lineRule="auto"/>
        <w:rPr>
          <w:rFonts w:cs="Times New Roman"/>
        </w:rPr>
      </w:pPr>
      <w:r>
        <w:rPr>
          <w:rFonts w:cs="Times New Roman"/>
        </w:rPr>
        <w:continuationSeparator/>
      </w:r>
    </w:p>
    <w:p w:rsidR="001E0C9B" w:rsidRDefault="001E0C9B">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9B" w:rsidRDefault="001E0C9B" w:rsidP="0030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C9B" w:rsidRDefault="001E0C9B" w:rsidP="003052E9">
    <w:pPr>
      <w:pStyle w:val="Footer"/>
      <w:ind w:right="360"/>
    </w:pPr>
  </w:p>
  <w:p w:rsidR="001E0C9B" w:rsidRDefault="001E0C9B">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9B" w:rsidRDefault="001E0C9B" w:rsidP="0030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E03">
      <w:rPr>
        <w:rStyle w:val="PageNumber"/>
        <w:noProof/>
      </w:rPr>
      <w:t>1</w:t>
    </w:r>
    <w:r>
      <w:rPr>
        <w:rStyle w:val="PageNumber"/>
      </w:rPr>
      <w:fldChar w:fldCharType="end"/>
    </w:r>
  </w:p>
  <w:p w:rsidR="001E0C9B" w:rsidRDefault="001E0C9B" w:rsidP="003052E9">
    <w:pPr>
      <w:pStyle w:val="Footer"/>
      <w:ind w:right="360"/>
    </w:pPr>
  </w:p>
  <w:p w:rsidR="001E0C9B" w:rsidRDefault="001E0C9B">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9B" w:rsidRDefault="001E0C9B">
      <w:pPr>
        <w:spacing w:after="0" w:line="240" w:lineRule="auto"/>
        <w:rPr>
          <w:rFonts w:cs="Times New Roman"/>
        </w:rPr>
      </w:pPr>
      <w:r>
        <w:rPr>
          <w:rFonts w:cs="Times New Roman"/>
        </w:rPr>
        <w:separator/>
      </w:r>
    </w:p>
    <w:p w:rsidR="001E0C9B" w:rsidRDefault="001E0C9B">
      <w:pPr>
        <w:rPr>
          <w:rFonts w:cs="Times New Roman"/>
        </w:rPr>
      </w:pPr>
    </w:p>
  </w:footnote>
  <w:footnote w:type="continuationSeparator" w:id="0">
    <w:p w:rsidR="001E0C9B" w:rsidRDefault="001E0C9B">
      <w:pPr>
        <w:spacing w:after="0" w:line="240" w:lineRule="auto"/>
        <w:rPr>
          <w:rFonts w:cs="Times New Roman"/>
        </w:rPr>
      </w:pPr>
      <w:r>
        <w:rPr>
          <w:rFonts w:cs="Times New Roman"/>
        </w:rPr>
        <w:continuationSeparator/>
      </w:r>
    </w:p>
    <w:p w:rsidR="001E0C9B" w:rsidRDefault="001E0C9B">
      <w:pPr>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85A"/>
    <w:multiLevelType w:val="hybridMultilevel"/>
    <w:tmpl w:val="41F6C49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933764"/>
    <w:multiLevelType w:val="hybridMultilevel"/>
    <w:tmpl w:val="525C17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64"/>
    <w:rsid w:val="00001A06"/>
    <w:rsid w:val="00027C29"/>
    <w:rsid w:val="000319BD"/>
    <w:rsid w:val="00033AD9"/>
    <w:rsid w:val="000709EB"/>
    <w:rsid w:val="00073B91"/>
    <w:rsid w:val="00077FD9"/>
    <w:rsid w:val="0009596D"/>
    <w:rsid w:val="000A37B9"/>
    <w:rsid w:val="000B55E6"/>
    <w:rsid w:val="000D3019"/>
    <w:rsid w:val="000D7055"/>
    <w:rsid w:val="00130BDD"/>
    <w:rsid w:val="001440C1"/>
    <w:rsid w:val="00192CA1"/>
    <w:rsid w:val="00193847"/>
    <w:rsid w:val="001A0C2B"/>
    <w:rsid w:val="001B536B"/>
    <w:rsid w:val="001C30A5"/>
    <w:rsid w:val="001E0C9B"/>
    <w:rsid w:val="00216103"/>
    <w:rsid w:val="0023413C"/>
    <w:rsid w:val="002948AD"/>
    <w:rsid w:val="002D31A3"/>
    <w:rsid w:val="003052E9"/>
    <w:rsid w:val="0032607F"/>
    <w:rsid w:val="00355A1D"/>
    <w:rsid w:val="00370E49"/>
    <w:rsid w:val="003C6D7C"/>
    <w:rsid w:val="003E624C"/>
    <w:rsid w:val="003F105F"/>
    <w:rsid w:val="004116FB"/>
    <w:rsid w:val="0042789D"/>
    <w:rsid w:val="004524D0"/>
    <w:rsid w:val="00473891"/>
    <w:rsid w:val="004C5F3E"/>
    <w:rsid w:val="004D246C"/>
    <w:rsid w:val="004F652B"/>
    <w:rsid w:val="00511F5C"/>
    <w:rsid w:val="00526E8C"/>
    <w:rsid w:val="005303DD"/>
    <w:rsid w:val="00545EAD"/>
    <w:rsid w:val="00555279"/>
    <w:rsid w:val="00566CCF"/>
    <w:rsid w:val="0057093B"/>
    <w:rsid w:val="00585AAE"/>
    <w:rsid w:val="005E7401"/>
    <w:rsid w:val="00607DD9"/>
    <w:rsid w:val="00622B48"/>
    <w:rsid w:val="006445F9"/>
    <w:rsid w:val="00663771"/>
    <w:rsid w:val="00671213"/>
    <w:rsid w:val="006B0E03"/>
    <w:rsid w:val="006E47C1"/>
    <w:rsid w:val="006F776A"/>
    <w:rsid w:val="00717B7C"/>
    <w:rsid w:val="007504F0"/>
    <w:rsid w:val="00767156"/>
    <w:rsid w:val="00783D9B"/>
    <w:rsid w:val="007B3A41"/>
    <w:rsid w:val="007E398C"/>
    <w:rsid w:val="00804D12"/>
    <w:rsid w:val="00856B7E"/>
    <w:rsid w:val="008601C2"/>
    <w:rsid w:val="00883D97"/>
    <w:rsid w:val="00893F64"/>
    <w:rsid w:val="008D74B4"/>
    <w:rsid w:val="00931C85"/>
    <w:rsid w:val="009328A5"/>
    <w:rsid w:val="00981A27"/>
    <w:rsid w:val="00982CEC"/>
    <w:rsid w:val="009A1AA9"/>
    <w:rsid w:val="009C4352"/>
    <w:rsid w:val="00A24BA2"/>
    <w:rsid w:val="00A67CAE"/>
    <w:rsid w:val="00A91978"/>
    <w:rsid w:val="00AE14CB"/>
    <w:rsid w:val="00AE1FFB"/>
    <w:rsid w:val="00B32267"/>
    <w:rsid w:val="00B64DCA"/>
    <w:rsid w:val="00B741BA"/>
    <w:rsid w:val="00BD0347"/>
    <w:rsid w:val="00C32D38"/>
    <w:rsid w:val="00C50C5B"/>
    <w:rsid w:val="00C77408"/>
    <w:rsid w:val="00CB124C"/>
    <w:rsid w:val="00CC0988"/>
    <w:rsid w:val="00CE08C3"/>
    <w:rsid w:val="00D3074C"/>
    <w:rsid w:val="00D5449B"/>
    <w:rsid w:val="00D8758C"/>
    <w:rsid w:val="00DB1AFC"/>
    <w:rsid w:val="00DD25E5"/>
    <w:rsid w:val="00DD28FE"/>
    <w:rsid w:val="00DD50B8"/>
    <w:rsid w:val="00DE05CA"/>
    <w:rsid w:val="00DF623C"/>
    <w:rsid w:val="00E06364"/>
    <w:rsid w:val="00E31C54"/>
    <w:rsid w:val="00E32E12"/>
    <w:rsid w:val="00E8349F"/>
    <w:rsid w:val="00EA01A4"/>
    <w:rsid w:val="00EB26C6"/>
    <w:rsid w:val="00EC6E44"/>
    <w:rsid w:val="00ED0103"/>
    <w:rsid w:val="00ED5C32"/>
    <w:rsid w:val="00F00DA1"/>
    <w:rsid w:val="00F40BDD"/>
    <w:rsid w:val="00F42CDA"/>
    <w:rsid w:val="00FC0967"/>
    <w:rsid w:val="00FC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B4"/>
    <w:pPr>
      <w:spacing w:after="200" w:line="276" w:lineRule="auto"/>
    </w:pPr>
    <w:rPr>
      <w:rFonts w:cs="Calibri"/>
    </w:rPr>
  </w:style>
  <w:style w:type="paragraph" w:styleId="Heading1">
    <w:name w:val="heading 1"/>
    <w:basedOn w:val="Normal"/>
    <w:next w:val="Normal"/>
    <w:link w:val="Heading1Char"/>
    <w:uiPriority w:val="99"/>
    <w:qFormat/>
    <w:rsid w:val="00E06364"/>
    <w:pPr>
      <w:keepNext/>
      <w:keepLines/>
      <w:spacing w:before="480" w:after="0"/>
      <w:outlineLvl w:val="0"/>
    </w:pPr>
    <w:rPr>
      <w:rFonts w:ascii="Cambria" w:eastAsia="MS Gothic"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6364"/>
    <w:rPr>
      <w:rFonts w:ascii="Cambria" w:eastAsia="MS Gothic" w:hAnsi="Cambria" w:cs="Cambria"/>
      <w:b/>
      <w:bCs/>
      <w:color w:val="365F91"/>
      <w:sz w:val="28"/>
      <w:szCs w:val="28"/>
      <w:lang w:eastAsia="en-US"/>
    </w:rPr>
  </w:style>
  <w:style w:type="paragraph" w:styleId="Footer">
    <w:name w:val="footer"/>
    <w:basedOn w:val="Normal"/>
    <w:link w:val="FooterChar"/>
    <w:uiPriority w:val="99"/>
    <w:rsid w:val="00DD28FE"/>
    <w:pPr>
      <w:tabs>
        <w:tab w:val="center" w:pos="4320"/>
        <w:tab w:val="right" w:pos="8640"/>
      </w:tabs>
      <w:spacing w:before="240" w:after="240" w:line="240" w:lineRule="auto"/>
    </w:pPr>
    <w:rPr>
      <w:rFonts w:ascii="Times New Roman" w:hAnsi="Times New Roman" w:cs="Times New Roman"/>
      <w:sz w:val="24"/>
      <w:szCs w:val="24"/>
      <w:lang w:eastAsia="ja-JP"/>
    </w:rPr>
  </w:style>
  <w:style w:type="character" w:customStyle="1" w:styleId="FooterChar">
    <w:name w:val="Footer Char"/>
    <w:basedOn w:val="DefaultParagraphFont"/>
    <w:link w:val="Footer"/>
    <w:uiPriority w:val="99"/>
    <w:rsid w:val="00DD28FE"/>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rsid w:val="00DD28FE"/>
  </w:style>
  <w:style w:type="table" w:customStyle="1" w:styleId="TableGrid1">
    <w:name w:val="Table Grid1"/>
    <w:uiPriority w:val="99"/>
    <w:rsid w:val="007B3A41"/>
    <w:rPr>
      <w:rFonts w:ascii="Cambria" w:hAnsi="Cambria" w:cs="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7B3A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41"/>
    <w:rPr>
      <w:rFonts w:ascii="Tahoma" w:hAnsi="Tahoma" w:cs="Tahoma"/>
      <w:sz w:val="16"/>
      <w:szCs w:val="16"/>
    </w:rPr>
  </w:style>
  <w:style w:type="paragraph" w:styleId="ListParagraph">
    <w:name w:val="List Paragraph"/>
    <w:basedOn w:val="Normal"/>
    <w:uiPriority w:val="99"/>
    <w:qFormat/>
    <w:rsid w:val="00981A27"/>
    <w:pPr>
      <w:ind w:left="720"/>
      <w:contextualSpacing/>
    </w:pPr>
  </w:style>
  <w:style w:type="paragraph" w:styleId="Header">
    <w:name w:val="header"/>
    <w:basedOn w:val="Normal"/>
    <w:link w:val="HeaderChar"/>
    <w:uiPriority w:val="99"/>
    <w:rsid w:val="0032607F"/>
    <w:pPr>
      <w:tabs>
        <w:tab w:val="center" w:pos="4153"/>
        <w:tab w:val="right" w:pos="8306"/>
      </w:tabs>
    </w:pPr>
  </w:style>
  <w:style w:type="character" w:customStyle="1" w:styleId="HeaderChar">
    <w:name w:val="Header Char"/>
    <w:basedOn w:val="DefaultParagraphFont"/>
    <w:link w:val="Header"/>
    <w:uiPriority w:val="99"/>
    <w:semiHidden/>
    <w:rsid w:val="001A0D97"/>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B4"/>
    <w:pPr>
      <w:spacing w:after="200" w:line="276" w:lineRule="auto"/>
    </w:pPr>
    <w:rPr>
      <w:rFonts w:cs="Calibri"/>
    </w:rPr>
  </w:style>
  <w:style w:type="paragraph" w:styleId="Heading1">
    <w:name w:val="heading 1"/>
    <w:basedOn w:val="Normal"/>
    <w:next w:val="Normal"/>
    <w:link w:val="Heading1Char"/>
    <w:uiPriority w:val="99"/>
    <w:qFormat/>
    <w:rsid w:val="00E06364"/>
    <w:pPr>
      <w:keepNext/>
      <w:keepLines/>
      <w:spacing w:before="480" w:after="0"/>
      <w:outlineLvl w:val="0"/>
    </w:pPr>
    <w:rPr>
      <w:rFonts w:ascii="Cambria" w:eastAsia="MS Gothic"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6364"/>
    <w:rPr>
      <w:rFonts w:ascii="Cambria" w:eastAsia="MS Gothic" w:hAnsi="Cambria" w:cs="Cambria"/>
      <w:b/>
      <w:bCs/>
      <w:color w:val="365F91"/>
      <w:sz w:val="28"/>
      <w:szCs w:val="28"/>
      <w:lang w:eastAsia="en-US"/>
    </w:rPr>
  </w:style>
  <w:style w:type="paragraph" w:styleId="Footer">
    <w:name w:val="footer"/>
    <w:basedOn w:val="Normal"/>
    <w:link w:val="FooterChar"/>
    <w:uiPriority w:val="99"/>
    <w:rsid w:val="00DD28FE"/>
    <w:pPr>
      <w:tabs>
        <w:tab w:val="center" w:pos="4320"/>
        <w:tab w:val="right" w:pos="8640"/>
      </w:tabs>
      <w:spacing w:before="240" w:after="240" w:line="240" w:lineRule="auto"/>
    </w:pPr>
    <w:rPr>
      <w:rFonts w:ascii="Times New Roman" w:hAnsi="Times New Roman" w:cs="Times New Roman"/>
      <w:sz w:val="24"/>
      <w:szCs w:val="24"/>
      <w:lang w:eastAsia="ja-JP"/>
    </w:rPr>
  </w:style>
  <w:style w:type="character" w:customStyle="1" w:styleId="FooterChar">
    <w:name w:val="Footer Char"/>
    <w:basedOn w:val="DefaultParagraphFont"/>
    <w:link w:val="Footer"/>
    <w:uiPriority w:val="99"/>
    <w:rsid w:val="00DD28FE"/>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rsid w:val="00DD28FE"/>
  </w:style>
  <w:style w:type="table" w:customStyle="1" w:styleId="TableGrid1">
    <w:name w:val="Table Grid1"/>
    <w:uiPriority w:val="99"/>
    <w:rsid w:val="007B3A41"/>
    <w:rPr>
      <w:rFonts w:ascii="Cambria" w:hAnsi="Cambria" w:cs="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7B3A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41"/>
    <w:rPr>
      <w:rFonts w:ascii="Tahoma" w:hAnsi="Tahoma" w:cs="Tahoma"/>
      <w:sz w:val="16"/>
      <w:szCs w:val="16"/>
    </w:rPr>
  </w:style>
  <w:style w:type="paragraph" w:styleId="ListParagraph">
    <w:name w:val="List Paragraph"/>
    <w:basedOn w:val="Normal"/>
    <w:uiPriority w:val="99"/>
    <w:qFormat/>
    <w:rsid w:val="00981A27"/>
    <w:pPr>
      <w:ind w:left="720"/>
      <w:contextualSpacing/>
    </w:pPr>
  </w:style>
  <w:style w:type="paragraph" w:styleId="Header">
    <w:name w:val="header"/>
    <w:basedOn w:val="Normal"/>
    <w:link w:val="HeaderChar"/>
    <w:uiPriority w:val="99"/>
    <w:rsid w:val="0032607F"/>
    <w:pPr>
      <w:tabs>
        <w:tab w:val="center" w:pos="4153"/>
        <w:tab w:val="right" w:pos="8306"/>
      </w:tabs>
    </w:pPr>
  </w:style>
  <w:style w:type="character" w:customStyle="1" w:styleId="HeaderChar">
    <w:name w:val="Header Char"/>
    <w:basedOn w:val="DefaultParagraphFont"/>
    <w:link w:val="Header"/>
    <w:uiPriority w:val="99"/>
    <w:semiHidden/>
    <w:rsid w:val="001A0D9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1298</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EP-7  The impact of localized ECH on Alfvén Eigenmode activity</vt:lpstr>
    </vt:vector>
  </TitlesOfParts>
  <Company>ITER</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EP-7  The impact of localized ECH on Alfvén Eigenmode activity</dc:title>
  <dc:creator>Lisgo Steve</dc:creator>
  <cp:lastModifiedBy>Lisgo Steve</cp:lastModifiedBy>
  <cp:revision>5</cp:revision>
  <dcterms:created xsi:type="dcterms:W3CDTF">2015-11-20T15:30:00Z</dcterms:created>
  <dcterms:modified xsi:type="dcterms:W3CDTF">2015-11-23T13:57:00Z</dcterms:modified>
</cp:coreProperties>
</file>