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674" w:rsidRDefault="00507674">
      <w:pPr>
        <w:pStyle w:val="Normal1"/>
        <w:keepNext/>
        <w:spacing w:line="240" w:lineRule="auto"/>
      </w:pPr>
      <w:r>
        <w:rPr>
          <w:b/>
          <w:bCs/>
          <w:color w:val="FF0000"/>
          <w:sz w:val="28"/>
          <w:szCs w:val="28"/>
        </w:rPr>
        <w:t>EP-</w:t>
      </w:r>
      <w:r w:rsidRPr="00A84BFD">
        <w:rPr>
          <w:b/>
          <w:bCs/>
          <w:color w:val="FF0000"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B2460E">
        <w:rPr>
          <w:b/>
          <w:bCs/>
          <w:color w:val="1F497D" w:themeColor="text2"/>
          <w:sz w:val="28"/>
          <w:szCs w:val="28"/>
        </w:rPr>
        <w:t>Validation of neutral b</w:t>
      </w:r>
      <w:bookmarkStart w:id="0" w:name="_GoBack"/>
      <w:bookmarkEnd w:id="0"/>
      <w:r w:rsidRPr="00C94A3B">
        <w:rPr>
          <w:b/>
          <w:bCs/>
          <w:color w:val="1F497D" w:themeColor="text2"/>
          <w:sz w:val="28"/>
          <w:szCs w:val="28"/>
        </w:rPr>
        <w:t>eam current drive and projections to ITER</w:t>
      </w:r>
    </w:p>
    <w:tbl>
      <w:tblPr>
        <w:tblW w:w="9923" w:type="dxa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126"/>
        <w:gridCol w:w="2835"/>
      </w:tblGrid>
      <w:tr w:rsidR="00FB4938" w:rsidRPr="00FB4938">
        <w:tc>
          <w:tcPr>
            <w:tcW w:w="2694" w:type="dxa"/>
            <w:shd w:val="clear" w:color="auto" w:fill="F2F2F2"/>
          </w:tcPr>
          <w:p w:rsidR="00507674" w:rsidRPr="00FB4938" w:rsidRDefault="00507674" w:rsidP="000B4B1F">
            <w:pPr>
              <w:pStyle w:val="Normal1"/>
              <w:tabs>
                <w:tab w:val="left" w:pos="405"/>
                <w:tab w:val="left" w:pos="127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B4938">
              <w:rPr>
                <w:b/>
                <w:bCs/>
              </w:rPr>
              <w:t>TG priority:</w:t>
            </w:r>
            <w:r w:rsidRPr="00FB4938">
              <w:rPr>
                <w:b/>
                <w:bCs/>
              </w:rPr>
              <w:tab/>
            </w:r>
            <w:r w:rsidRPr="00FB4938">
              <w:t>High</w:t>
            </w:r>
            <w:r w:rsidRPr="00FB4938">
              <w:rPr>
                <w:b/>
                <w:bCs/>
              </w:rPr>
              <w:t xml:space="preserve">   </w:t>
            </w:r>
          </w:p>
        </w:tc>
        <w:tc>
          <w:tcPr>
            <w:tcW w:w="2268" w:type="dxa"/>
            <w:shd w:val="clear" w:color="auto" w:fill="F2F2F2"/>
          </w:tcPr>
          <w:p w:rsidR="00507674" w:rsidRPr="00FB4938" w:rsidRDefault="00507674" w:rsidP="000B4B1F">
            <w:pPr>
              <w:pStyle w:val="Normal1"/>
              <w:tabs>
                <w:tab w:val="left" w:pos="1167"/>
              </w:tabs>
              <w:spacing w:after="0" w:line="240" w:lineRule="auto"/>
              <w:rPr>
                <w:sz w:val="24"/>
                <w:szCs w:val="24"/>
              </w:rPr>
            </w:pPr>
            <w:r w:rsidRPr="00FB4938">
              <w:rPr>
                <w:b/>
                <w:bCs/>
              </w:rPr>
              <w:t>Start date:</w:t>
            </w:r>
            <w:r w:rsidRPr="00FB4938">
              <w:rPr>
                <w:b/>
                <w:bCs/>
              </w:rPr>
              <w:tab/>
            </w:r>
            <w:r w:rsidRPr="00FB4938">
              <w:t>2016</w:t>
            </w:r>
          </w:p>
        </w:tc>
        <w:tc>
          <w:tcPr>
            <w:tcW w:w="2126" w:type="dxa"/>
            <w:shd w:val="clear" w:color="auto" w:fill="F2F2F2"/>
          </w:tcPr>
          <w:p w:rsidR="00507674" w:rsidRPr="00FB4938" w:rsidRDefault="00507674" w:rsidP="000B4B1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B4938">
              <w:rPr>
                <w:b/>
                <w:bCs/>
              </w:rPr>
              <w:t xml:space="preserve">Status:  </w:t>
            </w:r>
            <w:r w:rsidRPr="00FB4938">
              <w:t xml:space="preserve"> New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507674" w:rsidRPr="00FB4938" w:rsidRDefault="00507674" w:rsidP="000B4B1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B4938">
              <w:rPr>
                <w:b/>
                <w:bCs/>
              </w:rPr>
              <w:t xml:space="preserve">Personnel exchange:  </w:t>
            </w:r>
            <w:r w:rsidRPr="00FB4938">
              <w:t xml:space="preserve"> No</w:t>
            </w:r>
          </w:p>
        </w:tc>
      </w:tr>
      <w:tr w:rsidR="00FB4938" w:rsidRPr="00FB4938">
        <w:tc>
          <w:tcPr>
            <w:tcW w:w="2694" w:type="dxa"/>
            <w:shd w:val="clear" w:color="auto" w:fill="F2F2F2"/>
          </w:tcPr>
          <w:p w:rsidR="00507674" w:rsidRPr="00FB4938" w:rsidRDefault="00507674" w:rsidP="00203EEE">
            <w:pPr>
              <w:pStyle w:val="Normal1"/>
              <w:tabs>
                <w:tab w:val="left" w:pos="405"/>
                <w:tab w:val="left" w:pos="1276"/>
                <w:tab w:val="left" w:pos="1380"/>
              </w:tabs>
              <w:spacing w:after="0" w:line="240" w:lineRule="auto"/>
              <w:rPr>
                <w:sz w:val="24"/>
                <w:szCs w:val="24"/>
              </w:rPr>
            </w:pPr>
            <w:r w:rsidRPr="00FB4938">
              <w:rPr>
                <w:b/>
                <w:bCs/>
              </w:rPr>
              <w:t xml:space="preserve">IO priority:  </w:t>
            </w:r>
            <w:r w:rsidRPr="00FB4938">
              <w:t xml:space="preserve">              </w:t>
            </w:r>
            <w:r w:rsidRPr="00FB4938">
              <w:rPr>
                <w:b/>
                <w:bCs/>
              </w:rPr>
              <w:t xml:space="preserve">    </w:t>
            </w:r>
          </w:p>
        </w:tc>
        <w:tc>
          <w:tcPr>
            <w:tcW w:w="2268" w:type="dxa"/>
            <w:shd w:val="clear" w:color="auto" w:fill="F2F2F2"/>
          </w:tcPr>
          <w:p w:rsidR="00507674" w:rsidRPr="00FB4938" w:rsidRDefault="00507674" w:rsidP="000B4B1F">
            <w:pPr>
              <w:pStyle w:val="Normal1"/>
              <w:tabs>
                <w:tab w:val="left" w:pos="1167"/>
              </w:tabs>
              <w:spacing w:after="0" w:line="240" w:lineRule="auto"/>
              <w:rPr>
                <w:sz w:val="24"/>
                <w:szCs w:val="24"/>
              </w:rPr>
            </w:pPr>
            <w:r w:rsidRPr="00FB4938">
              <w:rPr>
                <w:b/>
                <w:bCs/>
              </w:rPr>
              <w:t>End date:</w:t>
            </w:r>
            <w:r w:rsidRPr="00FB4938">
              <w:rPr>
                <w:b/>
                <w:bCs/>
              </w:rPr>
              <w:tab/>
            </w:r>
            <w:r w:rsidRPr="00FB4938">
              <w:t>2018</w:t>
            </w:r>
          </w:p>
        </w:tc>
        <w:tc>
          <w:tcPr>
            <w:tcW w:w="4961" w:type="dxa"/>
            <w:gridSpan w:val="2"/>
            <w:shd w:val="clear" w:color="auto" w:fill="F2F2F2"/>
          </w:tcPr>
          <w:p w:rsidR="00507674" w:rsidRPr="00FB4938" w:rsidRDefault="00507674" w:rsidP="000B4B1F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 w:rsidRPr="00FB4938">
              <w:rPr>
                <w:b/>
                <w:bCs/>
              </w:rPr>
              <w:t xml:space="preserve">Motivation:   </w:t>
            </w:r>
            <w:r w:rsidRPr="00FB4938">
              <w:t>Physics Basis</w:t>
            </w:r>
          </w:p>
        </w:tc>
      </w:tr>
    </w:tbl>
    <w:p w:rsidR="00507674" w:rsidRDefault="00507674">
      <w:pPr>
        <w:pStyle w:val="Normal1"/>
        <w:spacing w:after="0" w:line="240" w:lineRule="auto"/>
        <w:jc w:val="both"/>
      </w:pPr>
    </w:p>
    <w:tbl>
      <w:tblPr>
        <w:tblW w:w="9923" w:type="dxa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2105"/>
        <w:gridCol w:w="1418"/>
        <w:gridCol w:w="1559"/>
        <w:gridCol w:w="1559"/>
        <w:gridCol w:w="1701"/>
        <w:gridCol w:w="21"/>
      </w:tblGrid>
      <w:tr w:rsidR="00FB4938" w:rsidRPr="00FB4938" w:rsidTr="00C94A3B">
        <w:tc>
          <w:tcPr>
            <w:tcW w:w="1560" w:type="dxa"/>
            <w:vMerge w:val="restart"/>
            <w:shd w:val="clear" w:color="auto" w:fill="D9D9D9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  <w:r w:rsidRPr="00FB4938">
              <w:rPr>
                <w:b/>
                <w:bCs/>
              </w:rPr>
              <w:t>Device /</w:t>
            </w:r>
            <w:r w:rsidRPr="00FB4938">
              <w:rPr>
                <w:b/>
                <w:bCs/>
              </w:rPr>
              <w:br/>
              <w:t>Association</w:t>
            </w:r>
          </w:p>
        </w:tc>
        <w:tc>
          <w:tcPr>
            <w:tcW w:w="2105" w:type="dxa"/>
            <w:vMerge w:val="restart"/>
            <w:shd w:val="clear" w:color="auto" w:fill="D9D9D9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  <w:r w:rsidRPr="00FB4938">
              <w:rPr>
                <w:b/>
                <w:bCs/>
              </w:rPr>
              <w:t>Contact</w:t>
            </w:r>
            <w:r w:rsidRPr="00FB4938">
              <w:rPr>
                <w:b/>
                <w:bCs/>
              </w:rPr>
              <w:br/>
              <w:t>Person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  <w:r w:rsidRPr="00FB4938">
              <w:rPr>
                <w:b/>
                <w:bCs/>
              </w:rPr>
              <w:t>2016 TG</w:t>
            </w:r>
            <w:r w:rsidRPr="00FB4938">
              <w:rPr>
                <w:b/>
                <w:bCs/>
              </w:rPr>
              <w:br/>
              <w:t>Request</w:t>
            </w:r>
          </w:p>
        </w:tc>
        <w:tc>
          <w:tcPr>
            <w:tcW w:w="4840" w:type="dxa"/>
            <w:gridSpan w:val="4"/>
            <w:shd w:val="clear" w:color="auto" w:fill="D9D9D9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rPr>
                <w:b/>
                <w:bCs/>
              </w:rPr>
              <w:t>Activity (from JEX/JA spreadsheet)</w:t>
            </w:r>
          </w:p>
        </w:tc>
      </w:tr>
      <w:tr w:rsidR="00FB4938" w:rsidRPr="00FB4938" w:rsidTr="00C94A3B">
        <w:trPr>
          <w:gridAfter w:val="1"/>
          <w:wAfter w:w="21" w:type="dxa"/>
          <w:trHeight w:val="331"/>
        </w:trPr>
        <w:tc>
          <w:tcPr>
            <w:tcW w:w="1560" w:type="dxa"/>
            <w:vMerge/>
            <w:shd w:val="clear" w:color="auto" w:fill="D9D9D9"/>
          </w:tcPr>
          <w:p w:rsidR="00C94A3B" w:rsidRPr="00FB4938" w:rsidRDefault="00C94A3B" w:rsidP="000B4B1F">
            <w:pPr>
              <w:pStyle w:val="Normal1"/>
              <w:widowControl w:val="0"/>
              <w:spacing w:after="0"/>
            </w:pPr>
          </w:p>
        </w:tc>
        <w:tc>
          <w:tcPr>
            <w:tcW w:w="2105" w:type="dxa"/>
            <w:vMerge/>
            <w:shd w:val="clear" w:color="auto" w:fill="D9D9D9"/>
          </w:tcPr>
          <w:p w:rsidR="00C94A3B" w:rsidRPr="00FB4938" w:rsidRDefault="00C94A3B" w:rsidP="000B4B1F">
            <w:pPr>
              <w:pStyle w:val="Normal1"/>
              <w:widowControl w:val="0"/>
              <w:spacing w:after="0"/>
            </w:pPr>
          </w:p>
        </w:tc>
        <w:tc>
          <w:tcPr>
            <w:tcW w:w="1418" w:type="dxa"/>
            <w:vMerge/>
            <w:shd w:val="clear" w:color="auto" w:fill="D9D9D9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</w:p>
        </w:tc>
        <w:tc>
          <w:tcPr>
            <w:tcW w:w="1559" w:type="dxa"/>
            <w:shd w:val="clear" w:color="auto" w:fill="D9D9D9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rPr>
                <w:b/>
                <w:bCs/>
              </w:rPr>
              <w:t>2016</w:t>
            </w:r>
          </w:p>
        </w:tc>
        <w:tc>
          <w:tcPr>
            <w:tcW w:w="1559" w:type="dxa"/>
            <w:shd w:val="clear" w:color="auto" w:fill="D9D9D9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rPr>
                <w:b/>
                <w:bCs/>
              </w:rPr>
              <w:t>2017</w:t>
            </w:r>
          </w:p>
        </w:tc>
        <w:tc>
          <w:tcPr>
            <w:tcW w:w="1701" w:type="dxa"/>
            <w:shd w:val="clear" w:color="auto" w:fill="D9D9D9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rPr>
                <w:b/>
                <w:bCs/>
              </w:rPr>
              <w:t>2018</w:t>
            </w:r>
          </w:p>
        </w:tc>
      </w:tr>
      <w:tr w:rsidR="00FB4938" w:rsidRPr="00FB4938" w:rsidTr="00C94A3B">
        <w:trPr>
          <w:gridAfter w:val="1"/>
          <w:wAfter w:w="21" w:type="dxa"/>
        </w:trPr>
        <w:tc>
          <w:tcPr>
            <w:tcW w:w="1560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tabs>
                <w:tab w:val="left" w:pos="1032"/>
              </w:tabs>
              <w:spacing w:after="0" w:line="240" w:lineRule="auto"/>
            </w:pPr>
            <w:r w:rsidRPr="00FB4938">
              <w:t>NSTX-U/PPPL</w:t>
            </w:r>
          </w:p>
        </w:tc>
        <w:tc>
          <w:tcPr>
            <w:tcW w:w="2105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  <w:rPr>
                <w:u w:val="single"/>
              </w:rPr>
            </w:pPr>
            <w:proofErr w:type="spellStart"/>
            <w:r w:rsidRPr="00FB4938">
              <w:rPr>
                <w:u w:val="single"/>
              </w:rPr>
              <w:t>Podestà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  <w:r w:rsidRPr="00FB4938">
              <w:t>Essential</w:t>
            </w:r>
          </w:p>
        </w:tc>
        <w:tc>
          <w:tcPr>
            <w:tcW w:w="1559" w:type="dxa"/>
            <w:shd w:val="clear" w:color="auto" w:fill="F2F2F2"/>
          </w:tcPr>
          <w:p w:rsidR="00C94A3B" w:rsidRPr="00FB4938" w:rsidRDefault="00C94A3B" w:rsidP="00134C49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  <w:tc>
          <w:tcPr>
            <w:tcW w:w="1559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  <w:tc>
          <w:tcPr>
            <w:tcW w:w="1701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</w:tr>
      <w:tr w:rsidR="00FB4938" w:rsidRPr="00FB4938" w:rsidTr="00C94A3B">
        <w:trPr>
          <w:gridAfter w:val="1"/>
          <w:wAfter w:w="21" w:type="dxa"/>
        </w:trPr>
        <w:tc>
          <w:tcPr>
            <w:tcW w:w="1560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tabs>
                <w:tab w:val="left" w:pos="1032"/>
              </w:tabs>
              <w:spacing w:after="0" w:line="240" w:lineRule="auto"/>
            </w:pPr>
            <w:r w:rsidRPr="00FB4938">
              <w:t>TCV/EPFL</w:t>
            </w:r>
          </w:p>
        </w:tc>
        <w:tc>
          <w:tcPr>
            <w:tcW w:w="2105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  <w:proofErr w:type="spellStart"/>
            <w:r w:rsidRPr="00FB4938">
              <w:t>Testa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  <w:r w:rsidRPr="00FB4938">
              <w:t>Desirable</w:t>
            </w:r>
          </w:p>
        </w:tc>
        <w:tc>
          <w:tcPr>
            <w:tcW w:w="1559" w:type="dxa"/>
            <w:shd w:val="clear" w:color="auto" w:fill="F2F2F2"/>
          </w:tcPr>
          <w:p w:rsidR="00C94A3B" w:rsidRPr="00FB4938" w:rsidRDefault="00C94A3B" w:rsidP="00134C49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  <w:tc>
          <w:tcPr>
            <w:tcW w:w="1559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  <w:tc>
          <w:tcPr>
            <w:tcW w:w="1701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</w:tr>
      <w:tr w:rsidR="00FB4938" w:rsidRPr="00FB4938" w:rsidTr="00C94A3B">
        <w:trPr>
          <w:gridAfter w:val="1"/>
          <w:wAfter w:w="21" w:type="dxa"/>
        </w:trPr>
        <w:tc>
          <w:tcPr>
            <w:tcW w:w="1560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tabs>
                <w:tab w:val="left" w:pos="1032"/>
              </w:tabs>
              <w:spacing w:after="0" w:line="240" w:lineRule="auto"/>
            </w:pPr>
            <w:r w:rsidRPr="00FB4938">
              <w:t>MAST/CCFE</w:t>
            </w:r>
          </w:p>
        </w:tc>
        <w:tc>
          <w:tcPr>
            <w:tcW w:w="2105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  <w:r w:rsidRPr="00FB4938">
              <w:t>Keeling</w:t>
            </w:r>
          </w:p>
        </w:tc>
        <w:tc>
          <w:tcPr>
            <w:tcW w:w="1418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  <w:r w:rsidRPr="00FB4938">
              <w:t>Essential</w:t>
            </w:r>
          </w:p>
        </w:tc>
        <w:tc>
          <w:tcPr>
            <w:tcW w:w="1559" w:type="dxa"/>
            <w:shd w:val="clear" w:color="auto" w:fill="F2F2F2"/>
          </w:tcPr>
          <w:p w:rsidR="00C94A3B" w:rsidRPr="00FB4938" w:rsidRDefault="00C94A3B" w:rsidP="00134C49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  <w:tc>
          <w:tcPr>
            <w:tcW w:w="1559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  <w:tc>
          <w:tcPr>
            <w:tcW w:w="1701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</w:tr>
      <w:tr w:rsidR="00FB4938" w:rsidRPr="00FB4938" w:rsidTr="00C94A3B">
        <w:trPr>
          <w:gridAfter w:val="1"/>
          <w:wAfter w:w="21" w:type="dxa"/>
        </w:trPr>
        <w:tc>
          <w:tcPr>
            <w:tcW w:w="1560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tabs>
                <w:tab w:val="left" w:pos="1032"/>
              </w:tabs>
              <w:spacing w:after="0" w:line="240" w:lineRule="auto"/>
            </w:pPr>
            <w:r w:rsidRPr="00FB4938">
              <w:t>AUG/IPP</w:t>
            </w:r>
          </w:p>
        </w:tc>
        <w:tc>
          <w:tcPr>
            <w:tcW w:w="2105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  <w:proofErr w:type="spellStart"/>
            <w:r w:rsidRPr="00FB4938">
              <w:t>Lauber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  <w:r w:rsidRPr="00FB4938">
              <w:t>Desirable</w:t>
            </w:r>
          </w:p>
        </w:tc>
        <w:tc>
          <w:tcPr>
            <w:tcW w:w="1559" w:type="dxa"/>
            <w:shd w:val="clear" w:color="auto" w:fill="F2F2F2"/>
          </w:tcPr>
          <w:p w:rsidR="00C94A3B" w:rsidRPr="00FB4938" w:rsidRDefault="00C94A3B" w:rsidP="00134C49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  <w:tc>
          <w:tcPr>
            <w:tcW w:w="1559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  <w:tc>
          <w:tcPr>
            <w:tcW w:w="1701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</w:tr>
      <w:tr w:rsidR="00FB4938" w:rsidRPr="00FB4938" w:rsidTr="00C94A3B">
        <w:trPr>
          <w:gridAfter w:val="1"/>
          <w:wAfter w:w="21" w:type="dxa"/>
        </w:trPr>
        <w:tc>
          <w:tcPr>
            <w:tcW w:w="1560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tabs>
                <w:tab w:val="left" w:pos="1032"/>
              </w:tabs>
              <w:spacing w:after="0" w:line="240" w:lineRule="auto"/>
            </w:pPr>
            <w:r w:rsidRPr="00FB4938">
              <w:t>DIIID/GA</w:t>
            </w:r>
          </w:p>
        </w:tc>
        <w:tc>
          <w:tcPr>
            <w:tcW w:w="2105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  <w:r w:rsidRPr="00FB4938">
              <w:t>Park</w:t>
            </w:r>
          </w:p>
        </w:tc>
        <w:tc>
          <w:tcPr>
            <w:tcW w:w="1418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</w:pPr>
            <w:r w:rsidRPr="00FB4938">
              <w:t>Desirable</w:t>
            </w:r>
          </w:p>
        </w:tc>
        <w:tc>
          <w:tcPr>
            <w:tcW w:w="1559" w:type="dxa"/>
            <w:shd w:val="clear" w:color="auto" w:fill="F2F2F2"/>
          </w:tcPr>
          <w:p w:rsidR="00C94A3B" w:rsidRPr="00FB4938" w:rsidRDefault="00C94A3B" w:rsidP="00134C49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  <w:tc>
          <w:tcPr>
            <w:tcW w:w="1559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  <w:tc>
          <w:tcPr>
            <w:tcW w:w="1701" w:type="dxa"/>
            <w:shd w:val="clear" w:color="auto" w:fill="F2F2F2"/>
          </w:tcPr>
          <w:p w:rsidR="00C94A3B" w:rsidRPr="00FB4938" w:rsidRDefault="00C94A3B" w:rsidP="000B4B1F">
            <w:pPr>
              <w:pStyle w:val="Normal1"/>
              <w:spacing w:after="0" w:line="240" w:lineRule="auto"/>
              <w:jc w:val="center"/>
            </w:pPr>
            <w:r w:rsidRPr="00FB4938">
              <w:t xml:space="preserve">          </w:t>
            </w:r>
          </w:p>
        </w:tc>
      </w:tr>
    </w:tbl>
    <w:p w:rsidR="00507674" w:rsidRPr="00C94A3B" w:rsidRDefault="00507674" w:rsidP="00C94A3B">
      <w:pPr>
        <w:pStyle w:val="Normal1"/>
        <w:spacing w:before="140" w:after="120"/>
        <w:jc w:val="both"/>
        <w:rPr>
          <w:iCs/>
          <w:sz w:val="4"/>
          <w:szCs w:val="4"/>
        </w:rPr>
      </w:pPr>
    </w:p>
    <w:p w:rsidR="00507674" w:rsidRPr="00FB4938" w:rsidRDefault="00507674">
      <w:pPr>
        <w:pStyle w:val="Normal1"/>
        <w:spacing w:before="140" w:after="120"/>
        <w:jc w:val="both"/>
      </w:pPr>
      <w:r w:rsidRPr="00FB4938">
        <w:rPr>
          <w:b/>
          <w:bCs/>
        </w:rPr>
        <w:t>Purpose</w:t>
      </w:r>
    </w:p>
    <w:p w:rsidR="00507674" w:rsidRPr="00FB4938" w:rsidRDefault="00507674">
      <w:pPr>
        <w:pStyle w:val="Normal1"/>
        <w:spacing w:before="140" w:after="120"/>
        <w:jc w:val="both"/>
      </w:pPr>
      <w:r>
        <w:t>Goals of this Joint Experiment are: (</w:t>
      </w:r>
      <w:proofErr w:type="spellStart"/>
      <w:r>
        <w:t>i</w:t>
      </w:r>
      <w:proofErr w:type="spellEnd"/>
      <w:r>
        <w:t xml:space="preserve">) assess Neutral Beam Current Drive (NBCD) efficiency, including conditions for which energetic particle (EP) </w:t>
      </w:r>
      <w:proofErr w:type="spellStart"/>
      <w:r>
        <w:t>behavior</w:t>
      </w:r>
      <w:proofErr w:type="spellEnd"/>
      <w:r>
        <w:t xml:space="preserve"> may be expected to depart from ‘classical’; (ii) develop/validate </w:t>
      </w:r>
      <w:proofErr w:type="spellStart"/>
      <w:r>
        <w:t>modeling</w:t>
      </w:r>
      <w:proofErr w:type="spellEnd"/>
      <w:r>
        <w:t xml:space="preserve"> tools to predict NBCD in future devices, with focus on ITER scenarios, including ‘non-classical’ effects such as enhanced EP transport by instabilities or </w:t>
      </w:r>
      <w:proofErr w:type="spellStart"/>
      <w:r>
        <w:t>microturbulence</w:t>
      </w:r>
      <w:proofErr w:type="spellEnd"/>
      <w:r>
        <w:t xml:space="preserve">. This study will benefit from considerable diagnostic and code developments during recent years, which enable more </w:t>
      </w:r>
      <w:r w:rsidRPr="00FB4938">
        <w:t xml:space="preserve">accurate characterization and </w:t>
      </w:r>
      <w:proofErr w:type="spellStart"/>
      <w:proofErr w:type="gramStart"/>
      <w:r w:rsidRPr="00FB4938">
        <w:t>modeling</w:t>
      </w:r>
      <w:proofErr w:type="spellEnd"/>
      <w:r w:rsidRPr="00FB4938">
        <w:t xml:space="preserve">  of</w:t>
      </w:r>
      <w:proofErr w:type="gramEnd"/>
      <w:r w:rsidRPr="00FB4938">
        <w:t xml:space="preserve"> the EP evolution.</w:t>
      </w:r>
    </w:p>
    <w:p w:rsidR="00507674" w:rsidRPr="00FB4938" w:rsidRDefault="00507674">
      <w:pPr>
        <w:pStyle w:val="Normal1"/>
        <w:spacing w:before="140" w:after="120"/>
        <w:jc w:val="both"/>
      </w:pPr>
      <w:r w:rsidRPr="00FB4938">
        <w:rPr>
          <w:b/>
          <w:bCs/>
        </w:rPr>
        <w:t>Plans for 2016</w:t>
      </w:r>
    </w:p>
    <w:p w:rsidR="00507674" w:rsidRDefault="00507674">
      <w:pPr>
        <w:pStyle w:val="Normal1"/>
        <w:numPr>
          <w:ilvl w:val="0"/>
          <w:numId w:val="2"/>
        </w:numPr>
        <w:spacing w:before="140" w:after="120"/>
        <w:ind w:hanging="360"/>
        <w:contextualSpacing/>
        <w:jc w:val="both"/>
      </w:pPr>
      <w:r>
        <w:t xml:space="preserve">Begin NBCD experiments on NSTX-U. Target off-axis NBCD scenarios with elevated </w:t>
      </w:r>
      <w:proofErr w:type="spellStart"/>
      <w:r>
        <w:t>qmin</w:t>
      </w:r>
      <w:proofErr w:type="spellEnd"/>
      <w:r>
        <w:t xml:space="preserve">&gt;1. Begin with MHD-quiescent conditions to establish a reliable baseline for code and diagnostics validation. Explore scenarios with enhanced energetic particle transport by instabilities such as </w:t>
      </w:r>
      <w:proofErr w:type="spellStart"/>
      <w:r>
        <w:t>Alfvénic</w:t>
      </w:r>
      <w:proofErr w:type="spellEnd"/>
      <w:r>
        <w:t xml:space="preserve"> modes and characterize their impact on NBCD efficiency and NB-driven current profile evolution.</w:t>
      </w:r>
    </w:p>
    <w:p w:rsidR="00507674" w:rsidRDefault="00507674">
      <w:pPr>
        <w:pStyle w:val="Normal1"/>
        <w:numPr>
          <w:ilvl w:val="0"/>
          <w:numId w:val="2"/>
        </w:numPr>
        <w:spacing w:before="140" w:after="120"/>
        <w:ind w:hanging="360"/>
        <w:contextualSpacing/>
        <w:jc w:val="both"/>
      </w:pPr>
      <w:r>
        <w:t xml:space="preserve">As the new NBI system becomes available, begin experiments to assess the achievable </w:t>
      </w:r>
      <w:proofErr w:type="spellStart"/>
      <w:r>
        <w:t>Te</w:t>
      </w:r>
      <w:proofErr w:type="spellEnd"/>
      <w:r>
        <w:t>/</w:t>
      </w:r>
      <w:proofErr w:type="spellStart"/>
      <w:r>
        <w:t>Ti</w:t>
      </w:r>
      <w:proofErr w:type="spellEnd"/>
      <w:r>
        <w:t xml:space="preserve"> ratio as a prelude for studies on EP transport by </w:t>
      </w:r>
      <w:proofErr w:type="spellStart"/>
      <w:r>
        <w:t>microturbulence</w:t>
      </w:r>
      <w:proofErr w:type="spellEnd"/>
      <w:r>
        <w:t xml:space="preserve"> and its impact on NBCD.</w:t>
      </w:r>
    </w:p>
    <w:p w:rsidR="00507674" w:rsidRDefault="00507674">
      <w:pPr>
        <w:pStyle w:val="Normal1"/>
        <w:numPr>
          <w:ilvl w:val="0"/>
          <w:numId w:val="2"/>
        </w:numPr>
        <w:spacing w:before="140" w:after="120"/>
        <w:ind w:hanging="360"/>
        <w:contextualSpacing/>
        <w:jc w:val="both"/>
      </w:pPr>
      <w:r>
        <w:t>Begin coordinated analysis of NBCD scenarios among participating devices; define plans for coordinated experiments on all devices in 2017/2018.</w:t>
      </w:r>
    </w:p>
    <w:p w:rsidR="00507674" w:rsidRDefault="00507674">
      <w:pPr>
        <w:pStyle w:val="Normal1"/>
        <w:spacing w:before="140" w:after="120"/>
      </w:pPr>
    </w:p>
    <w:sectPr w:rsidR="00507674" w:rsidSect="00F84248">
      <w:pgSz w:w="11906" w:h="16838"/>
      <w:pgMar w:top="851" w:right="851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EA4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6C387C13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248"/>
    <w:rsid w:val="000677A1"/>
    <w:rsid w:val="000B4B1F"/>
    <w:rsid w:val="00203EEE"/>
    <w:rsid w:val="00507674"/>
    <w:rsid w:val="00A84BFD"/>
    <w:rsid w:val="00B2460E"/>
    <w:rsid w:val="00C85117"/>
    <w:rsid w:val="00C94A3B"/>
    <w:rsid w:val="00F84248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F84248"/>
    <w:pPr>
      <w:keepNext/>
      <w:keepLines/>
      <w:spacing w:before="240" w:after="240" w:line="240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84248"/>
    <w:pPr>
      <w:keepNext/>
      <w:keepLines/>
      <w:spacing w:before="360" w:after="80"/>
      <w:contextualSpacing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84248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84248"/>
    <w:pPr>
      <w:keepNext/>
      <w:keepLines/>
      <w:spacing w:before="240" w:after="40"/>
      <w:contextualSpacing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84248"/>
    <w:pPr>
      <w:keepNext/>
      <w:keepLines/>
      <w:spacing w:before="220" w:after="40"/>
      <w:contextualSpacing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84248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4F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4F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4F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4F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4F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4F3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F84248"/>
    <w:pPr>
      <w:spacing w:after="200"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F84248"/>
    <w:pPr>
      <w:keepNext/>
      <w:keepLines/>
      <w:spacing w:before="240" w:after="240" w:line="240" w:lineRule="auto"/>
      <w:ind w:left="2127" w:hanging="2127"/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54F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84248"/>
    <w:pPr>
      <w:keepNext/>
      <w:keepLines/>
      <w:spacing w:before="240" w:after="240" w:line="240" w:lineRule="auto"/>
      <w:jc w:val="both"/>
    </w:pPr>
    <w:rPr>
      <w:b/>
      <w:bCs/>
      <w:i/>
      <w:iCs/>
      <w:color w:val="666666"/>
    </w:rPr>
  </w:style>
  <w:style w:type="character" w:customStyle="1" w:styleId="SubtitleChar">
    <w:name w:val="Subtitle Char"/>
    <w:basedOn w:val="DefaultParagraphFont"/>
    <w:link w:val="Subtitle"/>
    <w:uiPriority w:val="11"/>
    <w:rsid w:val="00DC54F3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F84248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F8424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EP-8 Validation of Neutral Beam current drive and projections to ITER</dc:title>
  <dc:subject/>
  <dc:creator/>
  <cp:keywords/>
  <dc:description/>
  <cp:lastModifiedBy>Lisgo Steve</cp:lastModifiedBy>
  <cp:revision>7</cp:revision>
  <dcterms:created xsi:type="dcterms:W3CDTF">2015-11-20T06:27:00Z</dcterms:created>
  <dcterms:modified xsi:type="dcterms:W3CDTF">2015-11-23T13:59:00Z</dcterms:modified>
</cp:coreProperties>
</file>