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0F0E7" w14:textId="77777777" w:rsidR="006225CA" w:rsidRPr="00464877" w:rsidRDefault="006225CA">
      <w:pPr>
        <w:rPr>
          <w:rFonts w:ascii="Helvetica" w:hAnsi="Helvetica"/>
          <w:caps/>
        </w:rPr>
      </w:pPr>
    </w:p>
    <w:p w14:paraId="0DE67D93" w14:textId="4AAEE112" w:rsidR="006225CA" w:rsidRPr="00464877" w:rsidRDefault="006225CA">
      <w:pPr>
        <w:rPr>
          <w:rFonts w:ascii="Helvetica" w:hAnsi="Helvetica"/>
          <w:caps/>
        </w:rPr>
      </w:pP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001129A6">
        <w:rPr>
          <w:rFonts w:ascii="Helvetica" w:hAnsi="Helvetica"/>
          <w:b/>
          <w:i/>
          <w:caps/>
        </w:rPr>
        <w:t>ASC</w:t>
      </w:r>
      <w:r w:rsidRPr="00464877">
        <w:rPr>
          <w:rFonts w:ascii="Helvetica" w:hAnsi="Helvetica"/>
          <w:caps/>
        </w:rPr>
        <w:t>-</w:t>
      </w:r>
      <w:r w:rsidR="00185E3F">
        <w:rPr>
          <w:rFonts w:ascii="Helvetica" w:hAnsi="Helvetica"/>
          <w:caps/>
        </w:rPr>
        <w:t>1705</w:t>
      </w:r>
      <w:r w:rsidR="001129A6">
        <w:rPr>
          <w:rFonts w:ascii="Helvetica" w:hAnsi="Helvetica"/>
          <w:caps/>
        </w:rPr>
        <w:t>23</w:t>
      </w:r>
      <w:r w:rsidRPr="00464877">
        <w:rPr>
          <w:rFonts w:ascii="Helvetica" w:hAnsi="Helvetica"/>
          <w:caps/>
        </w:rPr>
        <w:t>-</w:t>
      </w:r>
      <w:r w:rsidR="001129A6">
        <w:rPr>
          <w:rFonts w:ascii="Helvetica" w:hAnsi="Helvetica"/>
          <w:caps/>
        </w:rPr>
        <w:t>DB</w:t>
      </w:r>
      <w:r w:rsidRPr="00464877">
        <w:rPr>
          <w:rFonts w:ascii="Helvetica" w:hAnsi="Helvetica"/>
          <w:caps/>
        </w:rPr>
        <w:t>-01</w:t>
      </w:r>
    </w:p>
    <w:p w14:paraId="5E6C37F5" w14:textId="77777777" w:rsidR="006225CA" w:rsidRPr="00464877" w:rsidRDefault="006225CA">
      <w:pPr>
        <w:rPr>
          <w:rFonts w:ascii="Helvetica" w:hAnsi="Helvetica"/>
          <w:caps/>
        </w:rPr>
      </w:pPr>
    </w:p>
    <w:p w14:paraId="78AB9DBF" w14:textId="77777777" w:rsidR="006225CA" w:rsidRPr="00464877" w:rsidRDefault="006225CA">
      <w:pPr>
        <w:rPr>
          <w:rFonts w:ascii="Helvetica" w:hAnsi="Helvetica"/>
          <w:b/>
          <w:i/>
          <w:caps/>
        </w:rPr>
      </w:pPr>
      <w:r w:rsidRPr="00464877">
        <w:rPr>
          <w:rFonts w:ascii="Helvetica" w:hAnsi="Helvetica"/>
          <w:b/>
          <w:i/>
          <w:caps/>
        </w:rPr>
        <w:t xml:space="preserve">TO: </w:t>
      </w:r>
      <w:r w:rsidR="000145A7">
        <w:rPr>
          <w:rFonts w:ascii="Helvetica" w:hAnsi="Helvetica"/>
          <w:b/>
          <w:i/>
          <w:caps/>
        </w:rPr>
        <w:t>J. Menard, S. Kaye, S. Gerhardt</w:t>
      </w:r>
    </w:p>
    <w:p w14:paraId="6ACFB03B" w14:textId="51FE42DD" w:rsidR="006225CA" w:rsidRPr="00464877" w:rsidRDefault="006225CA">
      <w:pPr>
        <w:rPr>
          <w:rFonts w:ascii="Helvetica" w:hAnsi="Helvetica"/>
          <w:b/>
          <w:i/>
          <w:caps/>
        </w:rPr>
      </w:pPr>
      <w:r w:rsidRPr="00464877">
        <w:rPr>
          <w:rFonts w:ascii="Helvetica" w:hAnsi="Helvetica"/>
          <w:b/>
          <w:i/>
          <w:caps/>
        </w:rPr>
        <w:t xml:space="preserve">FROM: </w:t>
      </w:r>
      <w:r w:rsidR="00185E3F">
        <w:rPr>
          <w:rFonts w:ascii="Helvetica" w:hAnsi="Helvetica"/>
          <w:b/>
          <w:i/>
          <w:caps/>
        </w:rPr>
        <w:t>Devon Battaglia</w:t>
      </w:r>
      <w:r w:rsidR="000145A7">
        <w:rPr>
          <w:rFonts w:ascii="Helvetica" w:hAnsi="Helvetica"/>
          <w:b/>
          <w:i/>
          <w:caps/>
        </w:rPr>
        <w:t xml:space="preserve"> and </w:t>
      </w:r>
      <w:r w:rsidR="00C9088A">
        <w:rPr>
          <w:rFonts w:ascii="Helvetica" w:hAnsi="Helvetica"/>
          <w:b/>
          <w:i/>
          <w:caps/>
        </w:rPr>
        <w:t xml:space="preserve">the </w:t>
      </w:r>
      <w:r w:rsidR="00185E3F">
        <w:rPr>
          <w:rFonts w:ascii="Helvetica" w:hAnsi="Helvetica"/>
          <w:b/>
          <w:i/>
          <w:caps/>
        </w:rPr>
        <w:t>asc TSG</w:t>
      </w:r>
    </w:p>
    <w:p w14:paraId="3CA8AD69" w14:textId="77777777" w:rsidR="006225CA" w:rsidRPr="00464877" w:rsidRDefault="006225CA">
      <w:pPr>
        <w:rPr>
          <w:rFonts w:ascii="Helvetica" w:hAnsi="Helvetica"/>
          <w:b/>
          <w:i/>
          <w:caps/>
        </w:rPr>
      </w:pPr>
      <w:r w:rsidRPr="00464877">
        <w:rPr>
          <w:rFonts w:ascii="Helvetica" w:hAnsi="Helvetica"/>
          <w:b/>
          <w:i/>
          <w:caps/>
        </w:rPr>
        <w:t xml:space="preserve">Subject: </w:t>
      </w:r>
      <w:r w:rsidR="000145A7">
        <w:rPr>
          <w:rFonts w:ascii="Helvetica" w:hAnsi="Helvetica"/>
          <w:b/>
          <w:i/>
          <w:caps/>
        </w:rPr>
        <w:t>impact of potential polar region modifications on research and scenarios for</w:t>
      </w:r>
      <w:r w:rsidR="00947456">
        <w:rPr>
          <w:rFonts w:ascii="Helvetica" w:hAnsi="Helvetica"/>
          <w:b/>
          <w:i/>
          <w:caps/>
        </w:rPr>
        <w:t xml:space="preserve"> </w:t>
      </w:r>
      <w:r w:rsidR="00185E3F">
        <w:rPr>
          <w:rFonts w:ascii="Helvetica" w:hAnsi="Helvetica"/>
          <w:b/>
          <w:i/>
          <w:caps/>
        </w:rPr>
        <w:t>asc</w:t>
      </w:r>
      <w:r w:rsidR="000145A7">
        <w:rPr>
          <w:rFonts w:ascii="Helvetica" w:hAnsi="Helvetica"/>
          <w:b/>
          <w:i/>
          <w:caps/>
        </w:rPr>
        <w:t xml:space="preserve"> Topical Science group </w:t>
      </w:r>
    </w:p>
    <w:p w14:paraId="6F17BCFE" w14:textId="77777777" w:rsidR="00464877" w:rsidRDefault="00464877" w:rsidP="00464877">
      <w:pPr>
        <w:jc w:val="both"/>
        <w:rPr>
          <w:rFonts w:ascii="Helvetica" w:hAnsi="Helvetica"/>
        </w:rPr>
      </w:pPr>
    </w:p>
    <w:p w14:paraId="6ACE23DF" w14:textId="786AFA5E" w:rsidR="0046463C" w:rsidRDefault="00DD0B68" w:rsidP="004932E1">
      <w:pPr>
        <w:ind w:firstLine="720"/>
        <w:rPr>
          <w:rFonts w:ascii="Helvetica" w:hAnsi="Helvetica"/>
        </w:rPr>
      </w:pPr>
      <w:r>
        <w:rPr>
          <w:rFonts w:ascii="Helvetica" w:hAnsi="Helvetica"/>
        </w:rPr>
        <w:t>The NSTX-U Advanced Scenarios and Control (ASC) Topical Science Group (TSG) coordinates the development of control tools and integ</w:t>
      </w:r>
      <w:r w:rsidR="00D31AAD">
        <w:rPr>
          <w:rFonts w:ascii="Helvetica" w:hAnsi="Helvetica"/>
        </w:rPr>
        <w:t>rated scenarios that enable research directed toward the design and optimization</w:t>
      </w:r>
      <w:r>
        <w:rPr>
          <w:rFonts w:ascii="Helvetica" w:hAnsi="Helvetica"/>
        </w:rPr>
        <w:t xml:space="preserve"> of next-step spherical tokamak (ST) devices, such as a Fusion Nuclear Science Facility (FNSF). For example, a major thrust within ASC is the realization of a steady-state scenario with large energy confinement at or approaching 100% non-inductive current drive. This task requires advances in the real-time control of the plasma parameter</w:t>
      </w:r>
      <w:r w:rsidR="0046463C">
        <w:rPr>
          <w:rFonts w:ascii="Helvetica" w:hAnsi="Helvetica"/>
        </w:rPr>
        <w:t>s, as well as the integration of particle control, power handling</w:t>
      </w:r>
      <w:r w:rsidR="00453F53">
        <w:rPr>
          <w:rFonts w:ascii="Helvetica" w:hAnsi="Helvetica"/>
        </w:rPr>
        <w:t>, high confinement</w:t>
      </w:r>
      <w:r w:rsidR="0046463C">
        <w:rPr>
          <w:rFonts w:ascii="Helvetica" w:hAnsi="Helvetica"/>
        </w:rPr>
        <w:t xml:space="preserve"> and MHD stability solutions developed in conjunction with other TSGs.  </w:t>
      </w:r>
      <w:r>
        <w:rPr>
          <w:rFonts w:ascii="Helvetica" w:hAnsi="Helvetica"/>
        </w:rPr>
        <w:t xml:space="preserve">Generally, ASC </w:t>
      </w:r>
      <w:r w:rsidR="008568DA">
        <w:rPr>
          <w:rFonts w:ascii="Helvetica" w:hAnsi="Helvetica"/>
        </w:rPr>
        <w:t xml:space="preserve">is </w:t>
      </w:r>
      <w:r>
        <w:rPr>
          <w:rFonts w:ascii="Helvetica" w:hAnsi="Helvetica"/>
        </w:rPr>
        <w:t xml:space="preserve">also </w:t>
      </w:r>
      <w:r w:rsidR="0046463C">
        <w:rPr>
          <w:rFonts w:ascii="Helvetica" w:hAnsi="Helvetica"/>
        </w:rPr>
        <w:t>heavily invested in</w:t>
      </w:r>
      <w:r>
        <w:rPr>
          <w:rFonts w:ascii="Helvetica" w:hAnsi="Helvetica"/>
        </w:rPr>
        <w:t xml:space="preserve"> the development of control tools and scenarios that </w:t>
      </w:r>
      <w:r w:rsidR="0046463C">
        <w:rPr>
          <w:rFonts w:ascii="Helvetica" w:hAnsi="Helvetica"/>
        </w:rPr>
        <w:t>enable the scientific program contained within o</w:t>
      </w:r>
      <w:r w:rsidR="008568DA">
        <w:rPr>
          <w:rFonts w:ascii="Helvetica" w:hAnsi="Helvetica"/>
        </w:rPr>
        <w:t>ther TSG and Science Groups</w:t>
      </w:r>
      <w:r w:rsidR="0046463C">
        <w:rPr>
          <w:rFonts w:ascii="Helvetica" w:hAnsi="Helvetica"/>
        </w:rPr>
        <w:t>.</w:t>
      </w:r>
      <w:r w:rsidR="008568DA">
        <w:rPr>
          <w:rFonts w:ascii="Helvetica" w:hAnsi="Helvetica"/>
        </w:rPr>
        <w:t xml:space="preserve">  For example, ASC coordinates the development and commissioning of active snowflake divertor control, enabling research within the </w:t>
      </w:r>
      <w:r w:rsidR="0015448D">
        <w:rPr>
          <w:rFonts w:ascii="Helvetica" w:hAnsi="Helvetica"/>
        </w:rPr>
        <w:t>Boundary Science Group.</w:t>
      </w:r>
    </w:p>
    <w:p w14:paraId="01431FE5" w14:textId="77777777" w:rsidR="0046463C" w:rsidRDefault="0046463C" w:rsidP="0046463C">
      <w:pPr>
        <w:ind w:firstLine="720"/>
        <w:rPr>
          <w:rFonts w:ascii="Helvetica" w:hAnsi="Helvetica"/>
        </w:rPr>
      </w:pPr>
    </w:p>
    <w:p w14:paraId="072B4DAA" w14:textId="6B3D01DD" w:rsidR="0046463C" w:rsidRDefault="00443481" w:rsidP="0046463C">
      <w:pPr>
        <w:ind w:firstLine="720"/>
        <w:rPr>
          <w:rFonts w:ascii="Helvetica" w:hAnsi="Helvetica"/>
        </w:rPr>
      </w:pPr>
      <w:r>
        <w:rPr>
          <w:rFonts w:ascii="Helvetica" w:hAnsi="Helvetica"/>
        </w:rPr>
        <w:t xml:space="preserve">The ASC TSG held a meeting on May 12, 2017 to solicit input on the impact the potential polar region modifications would have on the scientific goals of the TSG. </w:t>
      </w:r>
      <w:r w:rsidR="004932E1">
        <w:rPr>
          <w:rFonts w:ascii="Helvetica" w:hAnsi="Helvetica"/>
        </w:rPr>
        <w:t>The discussions are summarized below for each of the four research thrusts identified in the most recent 5-year plan.</w:t>
      </w:r>
    </w:p>
    <w:p w14:paraId="1F76F92D" w14:textId="77777777" w:rsidR="004932E1" w:rsidRDefault="004932E1" w:rsidP="004932E1">
      <w:pPr>
        <w:rPr>
          <w:rFonts w:ascii="Helvetica" w:hAnsi="Helvetica"/>
        </w:rPr>
      </w:pPr>
    </w:p>
    <w:p w14:paraId="3241E63A" w14:textId="7D198317" w:rsidR="004932E1" w:rsidRPr="004B40EF" w:rsidRDefault="004932E1" w:rsidP="004932E1">
      <w:pPr>
        <w:rPr>
          <w:rFonts w:ascii="Helvetica" w:hAnsi="Helvetica"/>
          <w:b/>
          <w:u w:val="single"/>
        </w:rPr>
      </w:pPr>
      <w:r w:rsidRPr="004B40EF">
        <w:rPr>
          <w:rFonts w:ascii="Helvetica" w:hAnsi="Helvetica"/>
          <w:b/>
          <w:u w:val="single"/>
        </w:rPr>
        <w:t>ASC-1: Scenario Development</w:t>
      </w:r>
    </w:p>
    <w:p w14:paraId="02D9EB03" w14:textId="77777777" w:rsidR="004932E1" w:rsidRDefault="004932E1" w:rsidP="004932E1">
      <w:pPr>
        <w:rPr>
          <w:rFonts w:ascii="Helvetica" w:hAnsi="Helvetica"/>
        </w:rPr>
      </w:pPr>
    </w:p>
    <w:p w14:paraId="56C7019E" w14:textId="31FD3D9E" w:rsidR="004932E1" w:rsidRDefault="004932E1" w:rsidP="004932E1">
      <w:pPr>
        <w:ind w:firstLine="720"/>
        <w:rPr>
          <w:rFonts w:ascii="Helvetica" w:hAnsi="Helvetica"/>
        </w:rPr>
      </w:pPr>
      <w:r>
        <w:rPr>
          <w:rFonts w:ascii="Helvetica" w:hAnsi="Helvetica"/>
        </w:rPr>
        <w:t xml:space="preserve">This thrust focuses on demonstrating long-pulse, high-performance discharges on NSTX-U. Broadly speaking, there are two types of </w:t>
      </w:r>
      <w:r w:rsidR="001129A6">
        <w:rPr>
          <w:rFonts w:ascii="Helvetica" w:hAnsi="Helvetica"/>
        </w:rPr>
        <w:t>scenarios</w:t>
      </w:r>
      <w:r>
        <w:rPr>
          <w:rFonts w:ascii="Helvetica" w:hAnsi="Helvetica"/>
        </w:rPr>
        <w:t xml:space="preserve"> considered in this thrust: 100% non-inductive current drive and</w:t>
      </w:r>
      <w:r w:rsidR="0098117B">
        <w:rPr>
          <w:rFonts w:ascii="Helvetica" w:hAnsi="Helvetica"/>
        </w:rPr>
        <w:t xml:space="preserve"> high current partial inductive scenarios.</w:t>
      </w:r>
    </w:p>
    <w:p w14:paraId="640AB975" w14:textId="77777777" w:rsidR="004762A9" w:rsidRDefault="004762A9" w:rsidP="004932E1">
      <w:pPr>
        <w:ind w:firstLine="720"/>
        <w:rPr>
          <w:rFonts w:ascii="Helvetica" w:hAnsi="Helvetica"/>
        </w:rPr>
      </w:pPr>
    </w:p>
    <w:p w14:paraId="7A2DA8E8" w14:textId="2E2656FE" w:rsidR="004762A9" w:rsidRDefault="00E27B42" w:rsidP="004762A9">
      <w:pPr>
        <w:rPr>
          <w:rFonts w:ascii="Helvetica" w:hAnsi="Helvetica"/>
        </w:rPr>
      </w:pPr>
      <w:r>
        <w:rPr>
          <w:rFonts w:ascii="Helvetica" w:hAnsi="Helvetica"/>
          <w:u w:val="single"/>
        </w:rPr>
        <w:t>1.1 Full performance discharge development</w:t>
      </w:r>
    </w:p>
    <w:p w14:paraId="428BCDA5" w14:textId="77777777" w:rsidR="00974020" w:rsidRDefault="00974020" w:rsidP="00974020">
      <w:pPr>
        <w:rPr>
          <w:rFonts w:ascii="Helvetica" w:hAnsi="Helvetica"/>
        </w:rPr>
      </w:pPr>
    </w:p>
    <w:p w14:paraId="540ED1CC" w14:textId="3D117373" w:rsidR="00537F9D" w:rsidRDefault="00883C91" w:rsidP="006664A5">
      <w:pPr>
        <w:ind w:firstLine="720"/>
        <w:rPr>
          <w:rFonts w:ascii="Helvetica" w:hAnsi="Helvetica"/>
        </w:rPr>
      </w:pPr>
      <w:r>
        <w:rPr>
          <w:rFonts w:ascii="Helvetica" w:hAnsi="Helvetica"/>
        </w:rPr>
        <w:t xml:space="preserve">This </w:t>
      </w:r>
      <w:r w:rsidR="008351F8">
        <w:rPr>
          <w:rFonts w:ascii="Helvetica" w:hAnsi="Helvetica"/>
        </w:rPr>
        <w:t>research thrust</w:t>
      </w:r>
      <w:r>
        <w:rPr>
          <w:rFonts w:ascii="Helvetica" w:hAnsi="Helvetica"/>
        </w:rPr>
        <w:t xml:space="preserve"> focuses on realizing the full-performance of NSTX-U, namely I</w:t>
      </w:r>
      <w:r w:rsidRPr="00883C91">
        <w:rPr>
          <w:rFonts w:ascii="Helvetica" w:hAnsi="Helvetica"/>
          <w:vertAlign w:val="subscript"/>
        </w:rPr>
        <w:t>p</w:t>
      </w:r>
      <w:r>
        <w:rPr>
          <w:rFonts w:ascii="Helvetica" w:hAnsi="Helvetica"/>
        </w:rPr>
        <w:t xml:space="preserve"> = 2 MA, B</w:t>
      </w:r>
      <w:r w:rsidRPr="00883C91">
        <w:rPr>
          <w:rFonts w:ascii="Helvetica" w:hAnsi="Helvetica"/>
          <w:vertAlign w:val="subscript"/>
        </w:rPr>
        <w:t>T</w:t>
      </w:r>
      <w:r>
        <w:rPr>
          <w:rFonts w:ascii="Helvetica" w:hAnsi="Helvetica"/>
        </w:rPr>
        <w:t xml:space="preserve"> = 1T, t</w:t>
      </w:r>
      <w:r w:rsidRPr="00883C91">
        <w:rPr>
          <w:rFonts w:ascii="Helvetica" w:hAnsi="Helvetica"/>
          <w:vertAlign w:val="subscript"/>
        </w:rPr>
        <w:t>pulse</w:t>
      </w:r>
      <w:r>
        <w:rPr>
          <w:rFonts w:ascii="Helvetica" w:hAnsi="Helvetica"/>
        </w:rPr>
        <w:t xml:space="preserve"> = 5s</w:t>
      </w:r>
      <w:r w:rsidR="00942F79">
        <w:rPr>
          <w:rFonts w:ascii="Helvetica" w:hAnsi="Helvetica"/>
        </w:rPr>
        <w:t>, f</w:t>
      </w:r>
      <w:r w:rsidR="00942F79" w:rsidRPr="00942F79">
        <w:rPr>
          <w:rFonts w:ascii="Helvetica" w:hAnsi="Helvetica"/>
          <w:vertAlign w:val="subscript"/>
        </w:rPr>
        <w:t>GW</w:t>
      </w:r>
      <w:r w:rsidR="00942F79">
        <w:rPr>
          <w:rFonts w:ascii="Helvetica" w:hAnsi="Helvetica"/>
        </w:rPr>
        <w:t xml:space="preserve"> </w:t>
      </w:r>
      <w:r w:rsidR="00C75A4B">
        <w:rPr>
          <w:rFonts w:ascii="Helvetica" w:hAnsi="Helvetica"/>
        </w:rPr>
        <w:t>≤</w:t>
      </w:r>
      <w:r w:rsidR="00942F79">
        <w:rPr>
          <w:rFonts w:ascii="Helvetica" w:hAnsi="Helvetica"/>
        </w:rPr>
        <w:t xml:space="preserve"> 1</w:t>
      </w:r>
      <w:r w:rsidR="00F8713C">
        <w:rPr>
          <w:rFonts w:ascii="Helvetica" w:hAnsi="Helvetica"/>
        </w:rPr>
        <w:t xml:space="preserve"> in a DN shape</w:t>
      </w:r>
      <w:r>
        <w:rPr>
          <w:rFonts w:ascii="Helvetica" w:hAnsi="Helvetica"/>
        </w:rPr>
        <w:t>.</w:t>
      </w:r>
      <w:r w:rsidR="008351F8">
        <w:rPr>
          <w:rFonts w:ascii="Helvetica" w:hAnsi="Helvetica"/>
        </w:rPr>
        <w:t xml:space="preserve">  Members of the ASC group are actively involved in defining the requirements for the polar region modifications </w:t>
      </w:r>
      <w:r w:rsidR="00537F9D">
        <w:rPr>
          <w:rFonts w:ascii="Helvetica" w:hAnsi="Helvetica"/>
        </w:rPr>
        <w:t>based on this performance goal</w:t>
      </w:r>
      <w:r w:rsidR="00A210E2">
        <w:rPr>
          <w:rFonts w:ascii="Helvetica" w:hAnsi="Helvetica"/>
        </w:rPr>
        <w:t>. Thus,</w:t>
      </w:r>
      <w:r w:rsidR="008351F8">
        <w:rPr>
          <w:rFonts w:ascii="Helvetica" w:hAnsi="Helvetica"/>
        </w:rPr>
        <w:t xml:space="preserve"> the proposed changes are </w:t>
      </w:r>
      <w:r w:rsidR="00537F9D">
        <w:rPr>
          <w:rFonts w:ascii="Helvetica" w:hAnsi="Helvetica"/>
        </w:rPr>
        <w:t xml:space="preserve">presumed to be </w:t>
      </w:r>
      <w:r w:rsidR="008351F8">
        <w:rPr>
          <w:rFonts w:ascii="Helvetica" w:hAnsi="Helvetica"/>
        </w:rPr>
        <w:t>compatible with this research</w:t>
      </w:r>
      <w:r w:rsidR="0044179C">
        <w:rPr>
          <w:rFonts w:ascii="Helvetica" w:hAnsi="Helvetica"/>
        </w:rPr>
        <w:t xml:space="preserve"> activity</w:t>
      </w:r>
      <w:r w:rsidR="008351F8">
        <w:rPr>
          <w:rFonts w:ascii="Helvetica" w:hAnsi="Helvetica"/>
        </w:rPr>
        <w:t>.</w:t>
      </w:r>
      <w:r w:rsidR="00537F9D">
        <w:rPr>
          <w:rFonts w:ascii="Helvetica" w:hAnsi="Helvetica"/>
        </w:rPr>
        <w:t xml:space="preserve"> In our discussions, team members made suggestions on contributions the ASC group could make to inform the heat flux calculations that are being pursued, namely:</w:t>
      </w:r>
    </w:p>
    <w:p w14:paraId="5857DE0C" w14:textId="4D603613" w:rsidR="008351F8" w:rsidRDefault="008351F8" w:rsidP="006664A5">
      <w:pPr>
        <w:ind w:firstLine="720"/>
        <w:rPr>
          <w:rFonts w:ascii="Helvetica" w:hAnsi="Helvetica"/>
        </w:rPr>
      </w:pPr>
    </w:p>
    <w:p w14:paraId="7F075768" w14:textId="77777777" w:rsidR="00537F9D" w:rsidRDefault="00537F9D" w:rsidP="006664A5">
      <w:pPr>
        <w:ind w:firstLine="720"/>
        <w:rPr>
          <w:rFonts w:ascii="Helvetica" w:hAnsi="Helvetica"/>
        </w:rPr>
      </w:pPr>
    </w:p>
    <w:p w14:paraId="57B12F2F" w14:textId="14A5B4FA" w:rsidR="00537F9D" w:rsidRDefault="00C52407" w:rsidP="00537F9D">
      <w:pPr>
        <w:rPr>
          <w:rFonts w:ascii="Helvetica" w:hAnsi="Helvetica"/>
        </w:rPr>
      </w:pPr>
      <w:r>
        <w:rPr>
          <w:rFonts w:ascii="Helvetica" w:hAnsi="Helvetica"/>
        </w:rPr>
        <w:t>1.1.</w:t>
      </w:r>
      <w:r w:rsidR="00537F9D">
        <w:rPr>
          <w:rFonts w:ascii="Helvetica" w:hAnsi="Helvetica"/>
        </w:rPr>
        <w:t xml:space="preserve">1) Is 10 MW </w:t>
      </w:r>
      <w:r w:rsidR="006D2D5B">
        <w:rPr>
          <w:rFonts w:ascii="Helvetica" w:hAnsi="Helvetica"/>
        </w:rPr>
        <w:t xml:space="preserve">of NBI </w:t>
      </w:r>
      <w:r w:rsidR="00537F9D">
        <w:rPr>
          <w:rFonts w:ascii="Helvetica" w:hAnsi="Helvetica"/>
        </w:rPr>
        <w:t xml:space="preserve">heating </w:t>
      </w:r>
      <w:r w:rsidR="00C5644D">
        <w:rPr>
          <w:rFonts w:ascii="Helvetica" w:hAnsi="Helvetica"/>
        </w:rPr>
        <w:t xml:space="preserve">achievable and </w:t>
      </w:r>
      <w:r w:rsidR="00537F9D">
        <w:rPr>
          <w:rFonts w:ascii="Helvetica" w:hAnsi="Helvetica"/>
        </w:rPr>
        <w:t xml:space="preserve">sufficient for this </w:t>
      </w:r>
      <w:r w:rsidR="006D2D5B">
        <w:rPr>
          <w:rFonts w:ascii="Helvetica" w:hAnsi="Helvetica"/>
        </w:rPr>
        <w:t>scenario?</w:t>
      </w:r>
    </w:p>
    <w:p w14:paraId="49BAF58C" w14:textId="354DD00E" w:rsidR="00537F9D" w:rsidRDefault="00537F9D" w:rsidP="00537F9D">
      <w:pPr>
        <w:rPr>
          <w:rFonts w:ascii="Helvetica" w:hAnsi="Helvetica"/>
        </w:rPr>
      </w:pPr>
      <w:r>
        <w:rPr>
          <w:rFonts w:ascii="Helvetica" w:hAnsi="Helvetica"/>
        </w:rPr>
        <w:tab/>
      </w:r>
    </w:p>
    <w:p w14:paraId="6E825D2E" w14:textId="77777777" w:rsidR="00851534" w:rsidRDefault="00537F9D" w:rsidP="00537F9D">
      <w:pPr>
        <w:rPr>
          <w:rFonts w:ascii="Helvetica" w:hAnsi="Helvetica"/>
        </w:rPr>
      </w:pPr>
      <w:r>
        <w:rPr>
          <w:rFonts w:ascii="Helvetica" w:hAnsi="Helvetica"/>
        </w:rPr>
        <w:tab/>
      </w:r>
      <w:r w:rsidR="00974020">
        <w:rPr>
          <w:rFonts w:ascii="Helvetica" w:hAnsi="Helvetica"/>
        </w:rPr>
        <w:t>Considering the requirement</w:t>
      </w:r>
      <w:r w:rsidR="00C5644D">
        <w:rPr>
          <w:rFonts w:ascii="Helvetica" w:hAnsi="Helvetica"/>
        </w:rPr>
        <w:t xml:space="preserve"> for beam heating in ramp up and controlled ramp down, what is the optimum choice for the beam voltages and modulation timing for each of the six beams that keeps the beams within the pulse-length and modulation limits and achieves a 5s flattop? </w:t>
      </w:r>
      <w:r w:rsidR="00974020">
        <w:rPr>
          <w:rFonts w:ascii="Helvetica" w:hAnsi="Helvetica"/>
        </w:rPr>
        <w:t xml:space="preserve">Does this modulation allow for CHERs measurements of the carbon profiles? </w:t>
      </w:r>
      <w:r w:rsidR="00C5644D">
        <w:rPr>
          <w:rFonts w:ascii="Helvetica" w:hAnsi="Helvetica"/>
        </w:rPr>
        <w:t xml:space="preserve">How much power is available for the 5s flattop period and </w:t>
      </w:r>
      <w:r w:rsidR="006D2D5B">
        <w:rPr>
          <w:rFonts w:ascii="Helvetica" w:hAnsi="Helvetica"/>
        </w:rPr>
        <w:t xml:space="preserve">can </w:t>
      </w:r>
      <w:r w:rsidR="00851534">
        <w:rPr>
          <w:rFonts w:ascii="Helvetica" w:hAnsi="Helvetica"/>
        </w:rPr>
        <w:t xml:space="preserve">that power level </w:t>
      </w:r>
      <w:r w:rsidR="006D2D5B">
        <w:rPr>
          <w:rFonts w:ascii="Helvetica" w:hAnsi="Helvetica"/>
        </w:rPr>
        <w:t>support</w:t>
      </w:r>
      <w:r w:rsidR="00C5644D">
        <w:rPr>
          <w:rFonts w:ascii="Helvetica" w:hAnsi="Helvetica"/>
        </w:rPr>
        <w:t xml:space="preserve"> I</w:t>
      </w:r>
      <w:r w:rsidR="00C5644D" w:rsidRPr="00C5644D">
        <w:rPr>
          <w:rFonts w:ascii="Helvetica" w:hAnsi="Helvetica"/>
          <w:vertAlign w:val="subscript"/>
        </w:rPr>
        <w:t>p</w:t>
      </w:r>
      <w:r w:rsidR="00C5644D">
        <w:rPr>
          <w:rFonts w:ascii="Helvetica" w:hAnsi="Helvetica"/>
        </w:rPr>
        <w:t xml:space="preserve"> = 2 MA</w:t>
      </w:r>
      <w:r w:rsidR="00851534">
        <w:rPr>
          <w:rFonts w:ascii="Helvetica" w:hAnsi="Helvetica"/>
        </w:rPr>
        <w:t xml:space="preserve"> within a range of reasonable assumptions</w:t>
      </w:r>
      <w:r w:rsidR="00C5644D">
        <w:rPr>
          <w:rFonts w:ascii="Helvetica" w:hAnsi="Helvetica"/>
        </w:rPr>
        <w:t xml:space="preserve">?  </w:t>
      </w:r>
    </w:p>
    <w:p w14:paraId="4A150976" w14:textId="77777777" w:rsidR="00851534" w:rsidRDefault="00851534" w:rsidP="00537F9D">
      <w:pPr>
        <w:rPr>
          <w:rFonts w:ascii="Helvetica" w:hAnsi="Helvetica"/>
        </w:rPr>
      </w:pPr>
    </w:p>
    <w:p w14:paraId="30B1EFEB" w14:textId="449B93D3" w:rsidR="00537F9D" w:rsidRDefault="00C5644D" w:rsidP="00EF56AE">
      <w:pPr>
        <w:ind w:firstLine="720"/>
        <w:rPr>
          <w:rFonts w:ascii="Helvetica" w:hAnsi="Helvetica"/>
        </w:rPr>
      </w:pPr>
      <w:r>
        <w:rPr>
          <w:rFonts w:ascii="Helvetica" w:hAnsi="Helvetica"/>
        </w:rPr>
        <w:t xml:space="preserve">Calculations with TRANSP [Gerhardt, NF 52 (2012) 083020] have shown the </w:t>
      </w:r>
      <w:r w:rsidR="006D2D5B">
        <w:rPr>
          <w:rFonts w:ascii="Helvetica" w:hAnsi="Helvetica"/>
        </w:rPr>
        <w:t>maximum I</w:t>
      </w:r>
      <w:r w:rsidR="006D2D5B" w:rsidRPr="006D2D5B">
        <w:rPr>
          <w:rFonts w:ascii="Helvetica" w:hAnsi="Helvetica"/>
          <w:vertAlign w:val="subscript"/>
        </w:rPr>
        <w:t>p</w:t>
      </w:r>
      <w:r>
        <w:rPr>
          <w:rFonts w:ascii="Helvetica" w:hAnsi="Helvetica"/>
        </w:rPr>
        <w:t xml:space="preserve"> </w:t>
      </w:r>
      <w:r w:rsidR="00974020">
        <w:rPr>
          <w:rFonts w:ascii="Helvetica" w:hAnsi="Helvetica"/>
        </w:rPr>
        <w:t xml:space="preserve">with 10 MW of NBI heating </w:t>
      </w:r>
      <w:r>
        <w:rPr>
          <w:rFonts w:ascii="Helvetica" w:hAnsi="Helvetica"/>
        </w:rPr>
        <w:t>is strongly dependent on the ener</w:t>
      </w:r>
      <w:r w:rsidR="00974020">
        <w:rPr>
          <w:rFonts w:ascii="Helvetica" w:hAnsi="Helvetica"/>
        </w:rPr>
        <w:t>gy confinement and the density profile shape.</w:t>
      </w:r>
      <w:r w:rsidR="00851534">
        <w:rPr>
          <w:rFonts w:ascii="Helvetica" w:hAnsi="Helvetica"/>
        </w:rPr>
        <w:t xml:space="preserve"> These calculations did not consider the constraints from beam heating in ramp up and ramp down, or the NBI modulation required for CHERS measurements.</w:t>
      </w:r>
    </w:p>
    <w:p w14:paraId="7500D033" w14:textId="77777777" w:rsidR="006D2D5B" w:rsidRDefault="006D2D5B" w:rsidP="00537F9D">
      <w:pPr>
        <w:rPr>
          <w:rFonts w:ascii="Helvetica" w:hAnsi="Helvetica"/>
        </w:rPr>
      </w:pPr>
    </w:p>
    <w:p w14:paraId="29227C75" w14:textId="341CA72C" w:rsidR="006D2D5B" w:rsidRDefault="00C52407" w:rsidP="00537F9D">
      <w:pPr>
        <w:rPr>
          <w:rFonts w:ascii="Helvetica" w:hAnsi="Helvetica"/>
        </w:rPr>
      </w:pPr>
      <w:r>
        <w:rPr>
          <w:rFonts w:ascii="Helvetica" w:hAnsi="Helvetica"/>
        </w:rPr>
        <w:t>1.1.</w:t>
      </w:r>
      <w:r w:rsidR="006D2D5B">
        <w:rPr>
          <w:rFonts w:ascii="Helvetica" w:hAnsi="Helvetica"/>
        </w:rPr>
        <w:t xml:space="preserve">2) What </w:t>
      </w:r>
      <w:r w:rsidR="00974020">
        <w:rPr>
          <w:rFonts w:ascii="Helvetica" w:hAnsi="Helvetica"/>
        </w:rPr>
        <w:t xml:space="preserve">are the </w:t>
      </w:r>
      <w:r w:rsidR="006D2D5B">
        <w:rPr>
          <w:rFonts w:ascii="Helvetica" w:hAnsi="Helvetica"/>
        </w:rPr>
        <w:t>r</w:t>
      </w:r>
      <w:r w:rsidR="00974020">
        <w:rPr>
          <w:rFonts w:ascii="Helvetica" w:hAnsi="Helvetica"/>
        </w:rPr>
        <w:t>estrictions on the plasma shape</w:t>
      </w:r>
      <w:r w:rsidR="006D2D5B">
        <w:rPr>
          <w:rFonts w:ascii="Helvetica" w:hAnsi="Helvetica"/>
        </w:rPr>
        <w:t xml:space="preserve"> for this scenario?</w:t>
      </w:r>
    </w:p>
    <w:p w14:paraId="05071C30" w14:textId="77777777" w:rsidR="006D2D5B" w:rsidRDefault="006D2D5B" w:rsidP="00537F9D">
      <w:pPr>
        <w:rPr>
          <w:rFonts w:ascii="Helvetica" w:hAnsi="Helvetica"/>
        </w:rPr>
      </w:pPr>
    </w:p>
    <w:p w14:paraId="7CD11DF3" w14:textId="016555AB" w:rsidR="006D2D5B" w:rsidRDefault="006D2D5B" w:rsidP="00537F9D">
      <w:pPr>
        <w:rPr>
          <w:rFonts w:ascii="Helvetica" w:hAnsi="Helvetica"/>
        </w:rPr>
      </w:pPr>
      <w:r>
        <w:rPr>
          <w:rFonts w:ascii="Helvetica" w:hAnsi="Helvetica"/>
        </w:rPr>
        <w:tab/>
        <w:t xml:space="preserve">These scenarios </w:t>
      </w:r>
      <w:r w:rsidR="00417A84">
        <w:rPr>
          <w:rFonts w:ascii="Helvetica" w:hAnsi="Helvetica"/>
        </w:rPr>
        <w:t>favor a</w:t>
      </w:r>
      <w:r>
        <w:rPr>
          <w:rFonts w:ascii="Helvetica" w:hAnsi="Helvetica"/>
        </w:rPr>
        <w:t xml:space="preserve"> large outer gap, small inner gap and high triangularity.  The large outer gap leads to the requirement for vertical stability at large elongation.  </w:t>
      </w:r>
      <w:r w:rsidR="00417A84">
        <w:rPr>
          <w:rFonts w:ascii="Helvetica" w:hAnsi="Helvetica"/>
        </w:rPr>
        <w:t>What l</w:t>
      </w:r>
      <w:r w:rsidR="00417A84" w:rsidRPr="00C75A4B">
        <w:rPr>
          <w:rFonts w:ascii="Helvetica" w:hAnsi="Helvetica"/>
          <w:vertAlign w:val="subscript"/>
        </w:rPr>
        <w:t>i</w:t>
      </w:r>
      <w:r w:rsidR="00417A84">
        <w:rPr>
          <w:rFonts w:ascii="Helvetica" w:hAnsi="Helvetica"/>
        </w:rPr>
        <w:t xml:space="preserve"> is expected for this scenario and how does it scale with shape or beam parameters? </w:t>
      </w:r>
      <w:commentRangeStart w:id="0"/>
      <w:r>
        <w:rPr>
          <w:rFonts w:ascii="Helvetica" w:hAnsi="Helvetica"/>
        </w:rPr>
        <w:t>What is the minimum elongation that is credible for this scenario, considering a range of outer gaps and X-point Z-positions?</w:t>
      </w:r>
      <w:r w:rsidR="00974020">
        <w:rPr>
          <w:rFonts w:ascii="Helvetica" w:hAnsi="Helvetica"/>
        </w:rPr>
        <w:t xml:space="preserve"> </w:t>
      </w:r>
      <w:commentRangeEnd w:id="0"/>
      <w:r w:rsidR="001129A6">
        <w:rPr>
          <w:rStyle w:val="CommentReference"/>
        </w:rPr>
        <w:commentReference w:id="0"/>
      </w:r>
      <w:r w:rsidR="00974020">
        <w:rPr>
          <w:rFonts w:ascii="Helvetica" w:hAnsi="Helvetica"/>
        </w:rPr>
        <w:t>What are the vertical stability limits to the elongation in these scenarios?</w:t>
      </w:r>
    </w:p>
    <w:p w14:paraId="10837CB9" w14:textId="77777777" w:rsidR="00974020" w:rsidRDefault="00974020" w:rsidP="00537F9D">
      <w:pPr>
        <w:rPr>
          <w:rFonts w:ascii="Helvetica" w:hAnsi="Helvetica"/>
        </w:rPr>
      </w:pPr>
    </w:p>
    <w:p w14:paraId="0644ABBE" w14:textId="3D45C4D5" w:rsidR="006225CA" w:rsidRDefault="00E27B42" w:rsidP="00E9449B">
      <w:pPr>
        <w:rPr>
          <w:rFonts w:ascii="Helvetica" w:hAnsi="Helvetica"/>
        </w:rPr>
      </w:pPr>
      <w:r w:rsidRPr="00E27B42">
        <w:rPr>
          <w:rFonts w:ascii="Helvetica" w:hAnsi="Helvetica"/>
          <w:u w:val="single"/>
        </w:rPr>
        <w:t>1.2 High current and heating power</w:t>
      </w:r>
    </w:p>
    <w:p w14:paraId="389CE463" w14:textId="77777777" w:rsidR="00E27B42" w:rsidRDefault="00E27B42" w:rsidP="00E9449B">
      <w:pPr>
        <w:rPr>
          <w:rFonts w:ascii="Helvetica" w:hAnsi="Helvetica"/>
        </w:rPr>
      </w:pPr>
    </w:p>
    <w:p w14:paraId="22FEC1C2" w14:textId="68BF1BBD" w:rsidR="007A2FB9" w:rsidRDefault="002E2916" w:rsidP="00E27B42">
      <w:pPr>
        <w:ind w:firstLine="720"/>
        <w:rPr>
          <w:rFonts w:ascii="Helvetica" w:hAnsi="Helvetica"/>
        </w:rPr>
      </w:pPr>
      <w:r>
        <w:rPr>
          <w:rFonts w:ascii="Helvetica" w:hAnsi="Helvetica"/>
        </w:rPr>
        <w:t>Larger</w:t>
      </w:r>
      <w:r w:rsidR="00C52407">
        <w:rPr>
          <w:rFonts w:ascii="Helvetica" w:hAnsi="Helvetica"/>
        </w:rPr>
        <w:t xml:space="preserve"> NBI voltages (&gt; 8</w:t>
      </w:r>
      <w:r w:rsidR="00942F79">
        <w:rPr>
          <w:rFonts w:ascii="Helvetica" w:hAnsi="Helvetica"/>
        </w:rPr>
        <w:t>0 kV) would access high</w:t>
      </w:r>
      <w:r w:rsidR="00C52407">
        <w:rPr>
          <w:rFonts w:ascii="Helvetica" w:hAnsi="Helvetica"/>
        </w:rPr>
        <w:t xml:space="preserve"> temperatures</w:t>
      </w:r>
      <w:r w:rsidR="00942F79">
        <w:rPr>
          <w:rFonts w:ascii="Helvetica" w:hAnsi="Helvetica"/>
        </w:rPr>
        <w:t xml:space="preserve"> </w:t>
      </w:r>
      <w:r w:rsidR="00C52407">
        <w:rPr>
          <w:rFonts w:ascii="Helvetica" w:hAnsi="Helvetica"/>
        </w:rPr>
        <w:t xml:space="preserve">compared to the case described in 1.1. The larger temperatures would result in </w:t>
      </w:r>
      <w:r w:rsidR="00E27B42">
        <w:rPr>
          <w:rFonts w:ascii="Helvetica" w:hAnsi="Helvetica"/>
        </w:rPr>
        <w:t xml:space="preserve">longer current redistribution times, </w:t>
      </w:r>
      <w:r w:rsidR="00942F79">
        <w:rPr>
          <w:rFonts w:ascii="Helvetica" w:hAnsi="Helvetica"/>
        </w:rPr>
        <w:t xml:space="preserve">permitting stable </w:t>
      </w:r>
      <w:r w:rsidR="00C52407">
        <w:rPr>
          <w:rFonts w:ascii="Helvetica" w:hAnsi="Helvetica"/>
        </w:rPr>
        <w:t xml:space="preserve">non-stationary </w:t>
      </w:r>
      <w:r w:rsidR="00942F79">
        <w:rPr>
          <w:rFonts w:ascii="Helvetica" w:hAnsi="Helvetica"/>
        </w:rPr>
        <w:t>operation</w:t>
      </w:r>
      <w:r w:rsidR="00C108E5">
        <w:rPr>
          <w:rFonts w:ascii="Helvetica" w:hAnsi="Helvetica"/>
        </w:rPr>
        <w:t xml:space="preserve"> near</w:t>
      </w:r>
      <w:r w:rsidR="00E27B42">
        <w:rPr>
          <w:rFonts w:ascii="Helvetica" w:hAnsi="Helvetica"/>
        </w:rPr>
        <w:t xml:space="preserve"> I</w:t>
      </w:r>
      <w:r w:rsidR="00E27B42" w:rsidRPr="00E27B42">
        <w:rPr>
          <w:rFonts w:ascii="Helvetica" w:hAnsi="Helvetica"/>
          <w:vertAlign w:val="subscript"/>
        </w:rPr>
        <w:t>p</w:t>
      </w:r>
      <w:r w:rsidR="00E27B42">
        <w:rPr>
          <w:rFonts w:ascii="Helvetica" w:hAnsi="Helvetica"/>
        </w:rPr>
        <w:t xml:space="preserve"> = 2 MA at f</w:t>
      </w:r>
      <w:r w:rsidR="00E27B42" w:rsidRPr="00E27B42">
        <w:rPr>
          <w:rFonts w:ascii="Helvetica" w:hAnsi="Helvetica"/>
          <w:vertAlign w:val="subscript"/>
        </w:rPr>
        <w:t>GW</w:t>
      </w:r>
      <w:r w:rsidR="007A2FB9">
        <w:rPr>
          <w:rFonts w:ascii="Helvetica" w:hAnsi="Helvetica"/>
        </w:rPr>
        <w:t xml:space="preserve"> &lt; 1 for shorter pulses (&lt; 3 </w:t>
      </w:r>
      <w:r w:rsidR="00942F79">
        <w:rPr>
          <w:rFonts w:ascii="Helvetica" w:hAnsi="Helvetica"/>
        </w:rPr>
        <w:t>s).</w:t>
      </w:r>
      <w:r w:rsidR="007A2FB9">
        <w:rPr>
          <w:rFonts w:ascii="Helvetica" w:hAnsi="Helvetica"/>
        </w:rPr>
        <w:t xml:space="preserve"> </w:t>
      </w:r>
    </w:p>
    <w:p w14:paraId="3A917724" w14:textId="77777777" w:rsidR="007A2FB9" w:rsidRDefault="007A2FB9" w:rsidP="00E27B42">
      <w:pPr>
        <w:ind w:firstLine="720"/>
        <w:rPr>
          <w:rFonts w:ascii="Helvetica" w:hAnsi="Helvetica"/>
        </w:rPr>
      </w:pPr>
    </w:p>
    <w:p w14:paraId="75F28EF7" w14:textId="66715BA2" w:rsidR="00E27B42" w:rsidRDefault="007A2FB9" w:rsidP="00E27B42">
      <w:pPr>
        <w:ind w:firstLine="720"/>
        <w:rPr>
          <w:rFonts w:ascii="Helvetica" w:hAnsi="Helvetica"/>
        </w:rPr>
      </w:pPr>
      <w:r>
        <w:rPr>
          <w:rFonts w:ascii="Helvetica" w:hAnsi="Helvetica"/>
        </w:rPr>
        <w:t>The following parameters are taken from [Gerhardt, NF 52 (2012) 083020] assuming all six beams are injecting at the same voltage.</w:t>
      </w:r>
      <w:r w:rsidR="00C75A4B">
        <w:rPr>
          <w:rFonts w:ascii="Helvetica" w:hAnsi="Helvetica"/>
        </w:rPr>
        <w:t xml:space="preserve"> These cases are calculated to evolve to stationary conditions with q</w:t>
      </w:r>
      <w:r w:rsidR="00C75A4B" w:rsidRPr="00C75A4B">
        <w:rPr>
          <w:rFonts w:ascii="Helvetica" w:hAnsi="Helvetica"/>
          <w:vertAlign w:val="subscript"/>
        </w:rPr>
        <w:t>min</w:t>
      </w:r>
      <w:r w:rsidR="00C75A4B">
        <w:rPr>
          <w:rFonts w:ascii="Helvetica" w:hAnsi="Helvetica"/>
        </w:rPr>
        <w:t xml:space="preserve"> &gt; 1. </w:t>
      </w:r>
      <w:r>
        <w:rPr>
          <w:rFonts w:ascii="Helvetica" w:hAnsi="Helvetica"/>
        </w:rPr>
        <w:t xml:space="preserve"> The range of </w:t>
      </w:r>
      <w:r w:rsidR="002E2916">
        <w:rPr>
          <w:rFonts w:ascii="Helvetica" w:hAnsi="Helvetica"/>
        </w:rPr>
        <w:t>I</w:t>
      </w:r>
      <w:r w:rsidR="002E2916" w:rsidRPr="002E2916">
        <w:rPr>
          <w:rFonts w:ascii="Helvetica" w:hAnsi="Helvetica"/>
          <w:vertAlign w:val="subscript"/>
        </w:rPr>
        <w:t>p</w:t>
      </w:r>
      <w:r w:rsidR="002E2916">
        <w:rPr>
          <w:rFonts w:ascii="Helvetica" w:hAnsi="Helvetica"/>
        </w:rPr>
        <w:t xml:space="preserve"> </w:t>
      </w:r>
      <w:r>
        <w:rPr>
          <w:rFonts w:ascii="Helvetica" w:hAnsi="Helvetica"/>
        </w:rPr>
        <w:t xml:space="preserve">values reflects a two-point scan in </w:t>
      </w:r>
      <w:r w:rsidR="00524982">
        <w:rPr>
          <w:rFonts w:ascii="Helvetica" w:hAnsi="Helvetica"/>
        </w:rPr>
        <w:t xml:space="preserve">both </w:t>
      </w:r>
      <w:r>
        <w:rPr>
          <w:rFonts w:ascii="Helvetica" w:hAnsi="Helvetica"/>
        </w:rPr>
        <w:t>confinement and profile peaking:</w:t>
      </w:r>
    </w:p>
    <w:p w14:paraId="1A92BE7B" w14:textId="77777777" w:rsidR="00C108E5" w:rsidRDefault="00C108E5" w:rsidP="00E27B42">
      <w:pPr>
        <w:ind w:firstLine="720"/>
        <w:rPr>
          <w:rFonts w:ascii="Helvetica" w:hAnsi="Helvetica"/>
        </w:rPr>
      </w:pPr>
    </w:p>
    <w:tbl>
      <w:tblPr>
        <w:tblStyle w:val="TableGrid"/>
        <w:tblW w:w="5958" w:type="dxa"/>
        <w:jc w:val="center"/>
        <w:tblLook w:val="04A0" w:firstRow="1" w:lastRow="0" w:firstColumn="1" w:lastColumn="0" w:noHBand="0" w:noVBand="1"/>
      </w:tblPr>
      <w:tblGrid>
        <w:gridCol w:w="1099"/>
        <w:gridCol w:w="1121"/>
        <w:gridCol w:w="1568"/>
        <w:gridCol w:w="885"/>
        <w:gridCol w:w="1285"/>
      </w:tblGrid>
      <w:tr w:rsidR="00C75A4B" w14:paraId="1427CE4A" w14:textId="77777777" w:rsidTr="00C75A4B">
        <w:trPr>
          <w:jc w:val="center"/>
        </w:trPr>
        <w:tc>
          <w:tcPr>
            <w:tcW w:w="1099" w:type="dxa"/>
          </w:tcPr>
          <w:p w14:paraId="7B6234D8" w14:textId="673F53F4" w:rsidR="00C75A4B" w:rsidRPr="00C108E5" w:rsidRDefault="00C75A4B" w:rsidP="00E27B42">
            <w:pPr>
              <w:rPr>
                <w:rFonts w:ascii="Helvetica" w:hAnsi="Helvetica"/>
                <w:sz w:val="20"/>
                <w:szCs w:val="20"/>
              </w:rPr>
            </w:pPr>
            <w:r w:rsidRPr="00C108E5">
              <w:rPr>
                <w:rFonts w:ascii="Helvetica" w:hAnsi="Helvetica"/>
                <w:sz w:val="20"/>
                <w:szCs w:val="20"/>
              </w:rPr>
              <w:t>NBI (kV)</w:t>
            </w:r>
          </w:p>
        </w:tc>
        <w:tc>
          <w:tcPr>
            <w:tcW w:w="1121" w:type="dxa"/>
          </w:tcPr>
          <w:p w14:paraId="01924B38" w14:textId="108E84B2" w:rsidR="00C75A4B" w:rsidRPr="00C108E5" w:rsidRDefault="00C75A4B" w:rsidP="00E27B42">
            <w:pPr>
              <w:rPr>
                <w:rFonts w:ascii="Helvetica" w:hAnsi="Helvetica"/>
                <w:sz w:val="20"/>
                <w:szCs w:val="20"/>
              </w:rPr>
            </w:pPr>
            <w:r w:rsidRPr="00C108E5">
              <w:rPr>
                <w:rFonts w:ascii="Helvetica" w:hAnsi="Helvetica"/>
                <w:sz w:val="20"/>
                <w:szCs w:val="20"/>
              </w:rPr>
              <w:t>P</w:t>
            </w:r>
            <w:r w:rsidRPr="00C108E5">
              <w:rPr>
                <w:rFonts w:ascii="Helvetica" w:hAnsi="Helvetica"/>
                <w:sz w:val="20"/>
                <w:szCs w:val="20"/>
                <w:vertAlign w:val="subscript"/>
              </w:rPr>
              <w:t>inj</w:t>
            </w:r>
            <w:r w:rsidRPr="00C108E5">
              <w:rPr>
                <w:rFonts w:ascii="Helvetica" w:hAnsi="Helvetica"/>
                <w:sz w:val="20"/>
                <w:szCs w:val="20"/>
              </w:rPr>
              <w:t xml:space="preserve"> (MW)</w:t>
            </w:r>
          </w:p>
        </w:tc>
        <w:tc>
          <w:tcPr>
            <w:tcW w:w="1568" w:type="dxa"/>
          </w:tcPr>
          <w:p w14:paraId="645C437C" w14:textId="02C62898" w:rsidR="00C75A4B" w:rsidRPr="00C108E5" w:rsidRDefault="00C75A4B" w:rsidP="00E27B42">
            <w:pPr>
              <w:rPr>
                <w:rFonts w:ascii="Helvetica" w:hAnsi="Helvetica"/>
                <w:sz w:val="20"/>
                <w:szCs w:val="20"/>
              </w:rPr>
            </w:pPr>
            <w:r w:rsidRPr="00C108E5">
              <w:rPr>
                <w:rFonts w:ascii="Helvetica" w:hAnsi="Helvetica"/>
                <w:sz w:val="20"/>
                <w:szCs w:val="20"/>
              </w:rPr>
              <w:t>Max flattop (s)</w:t>
            </w:r>
          </w:p>
        </w:tc>
        <w:tc>
          <w:tcPr>
            <w:tcW w:w="885" w:type="dxa"/>
          </w:tcPr>
          <w:p w14:paraId="4295E954" w14:textId="313DFF72" w:rsidR="00C75A4B" w:rsidRPr="00C108E5" w:rsidRDefault="00C75A4B" w:rsidP="00E27B42">
            <w:pPr>
              <w:rPr>
                <w:rFonts w:ascii="Helvetica" w:hAnsi="Helvetica"/>
                <w:sz w:val="20"/>
                <w:szCs w:val="20"/>
              </w:rPr>
            </w:pPr>
            <w:r w:rsidRPr="00C108E5">
              <w:rPr>
                <w:rFonts w:ascii="Helvetica" w:hAnsi="Helvetica"/>
                <w:sz w:val="20"/>
                <w:szCs w:val="20"/>
              </w:rPr>
              <w:t>f</w:t>
            </w:r>
            <w:r w:rsidRPr="00C108E5">
              <w:rPr>
                <w:rFonts w:ascii="Helvetica" w:hAnsi="Helvetica"/>
                <w:sz w:val="20"/>
                <w:szCs w:val="20"/>
                <w:vertAlign w:val="subscript"/>
              </w:rPr>
              <w:t>GW</w:t>
            </w:r>
          </w:p>
        </w:tc>
        <w:tc>
          <w:tcPr>
            <w:tcW w:w="1285" w:type="dxa"/>
          </w:tcPr>
          <w:p w14:paraId="0C25156F" w14:textId="46A18A0B" w:rsidR="00C75A4B" w:rsidRPr="00C108E5" w:rsidRDefault="00C75A4B" w:rsidP="00E27B42">
            <w:pPr>
              <w:rPr>
                <w:rFonts w:ascii="Helvetica" w:hAnsi="Helvetica"/>
                <w:sz w:val="20"/>
                <w:szCs w:val="20"/>
              </w:rPr>
            </w:pPr>
            <w:r w:rsidRPr="00C108E5">
              <w:rPr>
                <w:rFonts w:ascii="Helvetica" w:hAnsi="Helvetica"/>
                <w:sz w:val="20"/>
                <w:szCs w:val="20"/>
              </w:rPr>
              <w:t>Ip (MA)</w:t>
            </w:r>
          </w:p>
        </w:tc>
      </w:tr>
      <w:tr w:rsidR="00C75A4B" w14:paraId="7BC2787A" w14:textId="77777777" w:rsidTr="00C75A4B">
        <w:trPr>
          <w:jc w:val="center"/>
        </w:trPr>
        <w:tc>
          <w:tcPr>
            <w:tcW w:w="1099" w:type="dxa"/>
          </w:tcPr>
          <w:p w14:paraId="4DF5978B" w14:textId="6E94D727" w:rsidR="00C75A4B" w:rsidRPr="00C108E5" w:rsidRDefault="00C75A4B" w:rsidP="00E27B42">
            <w:pPr>
              <w:rPr>
                <w:rFonts w:ascii="Helvetica" w:hAnsi="Helvetica"/>
                <w:sz w:val="20"/>
                <w:szCs w:val="20"/>
              </w:rPr>
            </w:pPr>
            <w:r w:rsidRPr="00C108E5">
              <w:rPr>
                <w:rFonts w:ascii="Helvetica" w:hAnsi="Helvetica"/>
                <w:sz w:val="20"/>
                <w:szCs w:val="20"/>
              </w:rPr>
              <w:t>80</w:t>
            </w:r>
          </w:p>
        </w:tc>
        <w:tc>
          <w:tcPr>
            <w:tcW w:w="1121" w:type="dxa"/>
          </w:tcPr>
          <w:p w14:paraId="61C37ED8" w14:textId="5F0EF6AA" w:rsidR="00C75A4B" w:rsidRPr="00C108E5" w:rsidRDefault="00C75A4B" w:rsidP="00E27B42">
            <w:pPr>
              <w:rPr>
                <w:rFonts w:ascii="Helvetica" w:hAnsi="Helvetica"/>
                <w:sz w:val="20"/>
                <w:szCs w:val="20"/>
              </w:rPr>
            </w:pPr>
            <w:r w:rsidRPr="00C108E5">
              <w:rPr>
                <w:rFonts w:ascii="Helvetica" w:hAnsi="Helvetica"/>
                <w:sz w:val="20"/>
                <w:szCs w:val="20"/>
              </w:rPr>
              <w:t>10.2</w:t>
            </w:r>
          </w:p>
        </w:tc>
        <w:tc>
          <w:tcPr>
            <w:tcW w:w="1568" w:type="dxa"/>
          </w:tcPr>
          <w:p w14:paraId="23E60C06" w14:textId="5C19CF91" w:rsidR="00C75A4B" w:rsidRPr="00C108E5" w:rsidRDefault="00C75A4B" w:rsidP="00E27B42">
            <w:pPr>
              <w:rPr>
                <w:rFonts w:ascii="Helvetica" w:hAnsi="Helvetica"/>
                <w:sz w:val="20"/>
                <w:szCs w:val="20"/>
              </w:rPr>
            </w:pPr>
            <w:r w:rsidRPr="00C108E5">
              <w:rPr>
                <w:rFonts w:ascii="Helvetica" w:hAnsi="Helvetica"/>
                <w:sz w:val="20"/>
                <w:szCs w:val="20"/>
              </w:rPr>
              <w:t>5</w:t>
            </w:r>
          </w:p>
        </w:tc>
        <w:tc>
          <w:tcPr>
            <w:tcW w:w="885" w:type="dxa"/>
          </w:tcPr>
          <w:p w14:paraId="4B67F6B4" w14:textId="137B0628" w:rsidR="00C75A4B" w:rsidRPr="00C108E5" w:rsidRDefault="00C75A4B" w:rsidP="00E27B42">
            <w:pPr>
              <w:rPr>
                <w:rFonts w:ascii="Helvetica" w:hAnsi="Helvetica"/>
                <w:sz w:val="20"/>
                <w:szCs w:val="20"/>
              </w:rPr>
            </w:pPr>
            <w:r w:rsidRPr="00C108E5">
              <w:rPr>
                <w:rFonts w:ascii="Helvetica" w:hAnsi="Helvetica"/>
                <w:sz w:val="20"/>
                <w:szCs w:val="20"/>
              </w:rPr>
              <w:t>0.74</w:t>
            </w:r>
          </w:p>
        </w:tc>
        <w:tc>
          <w:tcPr>
            <w:tcW w:w="1285" w:type="dxa"/>
          </w:tcPr>
          <w:p w14:paraId="6E703DE4" w14:textId="2C56B81E" w:rsidR="00C75A4B" w:rsidRPr="00C108E5" w:rsidRDefault="00C75A4B" w:rsidP="00E27B42">
            <w:pPr>
              <w:rPr>
                <w:rFonts w:ascii="Helvetica" w:hAnsi="Helvetica"/>
                <w:sz w:val="20"/>
                <w:szCs w:val="20"/>
              </w:rPr>
            </w:pPr>
            <w:r w:rsidRPr="00C108E5">
              <w:rPr>
                <w:rFonts w:ascii="Helvetica" w:hAnsi="Helvetica"/>
                <w:sz w:val="20"/>
                <w:szCs w:val="20"/>
              </w:rPr>
              <w:t>1.25 – 1.8</w:t>
            </w:r>
          </w:p>
        </w:tc>
      </w:tr>
      <w:tr w:rsidR="00C75A4B" w14:paraId="4E6D30F1" w14:textId="77777777" w:rsidTr="00C75A4B">
        <w:trPr>
          <w:jc w:val="center"/>
        </w:trPr>
        <w:tc>
          <w:tcPr>
            <w:tcW w:w="1099" w:type="dxa"/>
          </w:tcPr>
          <w:p w14:paraId="5621AFCB" w14:textId="03849681" w:rsidR="00C75A4B" w:rsidRPr="00C108E5" w:rsidRDefault="00C75A4B" w:rsidP="00E27B42">
            <w:pPr>
              <w:rPr>
                <w:rFonts w:ascii="Helvetica" w:hAnsi="Helvetica"/>
                <w:sz w:val="20"/>
                <w:szCs w:val="20"/>
              </w:rPr>
            </w:pPr>
            <w:r w:rsidRPr="00C108E5">
              <w:rPr>
                <w:rFonts w:ascii="Helvetica" w:hAnsi="Helvetica"/>
                <w:sz w:val="20"/>
                <w:szCs w:val="20"/>
              </w:rPr>
              <w:t>90</w:t>
            </w:r>
          </w:p>
        </w:tc>
        <w:tc>
          <w:tcPr>
            <w:tcW w:w="1121" w:type="dxa"/>
          </w:tcPr>
          <w:p w14:paraId="6561E073" w14:textId="46854C1F" w:rsidR="00C75A4B" w:rsidRPr="00C108E5" w:rsidRDefault="00C75A4B" w:rsidP="00E27B42">
            <w:pPr>
              <w:rPr>
                <w:rFonts w:ascii="Helvetica" w:hAnsi="Helvetica"/>
                <w:sz w:val="20"/>
                <w:szCs w:val="20"/>
              </w:rPr>
            </w:pPr>
            <w:r w:rsidRPr="00C108E5">
              <w:rPr>
                <w:rFonts w:ascii="Helvetica" w:hAnsi="Helvetica"/>
                <w:sz w:val="20"/>
                <w:szCs w:val="20"/>
              </w:rPr>
              <w:t>12.6</w:t>
            </w:r>
          </w:p>
        </w:tc>
        <w:tc>
          <w:tcPr>
            <w:tcW w:w="1568" w:type="dxa"/>
          </w:tcPr>
          <w:p w14:paraId="76EC9695" w14:textId="070FEED8" w:rsidR="00C75A4B" w:rsidRPr="00C108E5" w:rsidRDefault="00C75A4B" w:rsidP="00E27B42">
            <w:pPr>
              <w:rPr>
                <w:rFonts w:ascii="Helvetica" w:hAnsi="Helvetica"/>
                <w:sz w:val="20"/>
                <w:szCs w:val="20"/>
              </w:rPr>
            </w:pPr>
            <w:r w:rsidRPr="00C108E5">
              <w:rPr>
                <w:rFonts w:ascii="Helvetica" w:hAnsi="Helvetica"/>
                <w:sz w:val="20"/>
                <w:szCs w:val="20"/>
              </w:rPr>
              <w:t>3</w:t>
            </w:r>
          </w:p>
        </w:tc>
        <w:tc>
          <w:tcPr>
            <w:tcW w:w="885" w:type="dxa"/>
          </w:tcPr>
          <w:p w14:paraId="6D59C72A" w14:textId="50C688C6" w:rsidR="00C75A4B" w:rsidRPr="00C108E5" w:rsidRDefault="00C75A4B" w:rsidP="00E27B42">
            <w:pPr>
              <w:rPr>
                <w:rFonts w:ascii="Helvetica" w:hAnsi="Helvetica"/>
                <w:sz w:val="20"/>
                <w:szCs w:val="20"/>
              </w:rPr>
            </w:pPr>
            <w:r w:rsidRPr="00C108E5">
              <w:rPr>
                <w:rFonts w:ascii="Helvetica" w:hAnsi="Helvetica"/>
                <w:sz w:val="20"/>
                <w:szCs w:val="20"/>
              </w:rPr>
              <w:t>0.74</w:t>
            </w:r>
          </w:p>
        </w:tc>
        <w:tc>
          <w:tcPr>
            <w:tcW w:w="1285" w:type="dxa"/>
          </w:tcPr>
          <w:p w14:paraId="283A8BF9" w14:textId="375B20E4" w:rsidR="00C75A4B" w:rsidRPr="00C108E5" w:rsidRDefault="00C75A4B" w:rsidP="00E27B42">
            <w:pPr>
              <w:rPr>
                <w:rFonts w:ascii="Helvetica" w:hAnsi="Helvetica"/>
                <w:sz w:val="20"/>
                <w:szCs w:val="20"/>
              </w:rPr>
            </w:pPr>
            <w:r w:rsidRPr="00C108E5">
              <w:rPr>
                <w:rFonts w:ascii="Helvetica" w:hAnsi="Helvetica"/>
                <w:sz w:val="20"/>
                <w:szCs w:val="20"/>
              </w:rPr>
              <w:t>1.35 – 1.9</w:t>
            </w:r>
          </w:p>
        </w:tc>
      </w:tr>
      <w:tr w:rsidR="00C75A4B" w14:paraId="459A0291" w14:textId="77777777" w:rsidTr="00C75A4B">
        <w:trPr>
          <w:jc w:val="center"/>
        </w:trPr>
        <w:tc>
          <w:tcPr>
            <w:tcW w:w="1099" w:type="dxa"/>
          </w:tcPr>
          <w:p w14:paraId="4DFB6E35" w14:textId="3E09A02C" w:rsidR="00C75A4B" w:rsidRPr="00C108E5" w:rsidRDefault="00C75A4B" w:rsidP="00E27B42">
            <w:pPr>
              <w:rPr>
                <w:rFonts w:ascii="Helvetica" w:hAnsi="Helvetica"/>
                <w:sz w:val="20"/>
                <w:szCs w:val="20"/>
              </w:rPr>
            </w:pPr>
            <w:r w:rsidRPr="00C108E5">
              <w:rPr>
                <w:rFonts w:ascii="Helvetica" w:hAnsi="Helvetica"/>
                <w:sz w:val="20"/>
                <w:szCs w:val="20"/>
              </w:rPr>
              <w:t>100</w:t>
            </w:r>
          </w:p>
        </w:tc>
        <w:tc>
          <w:tcPr>
            <w:tcW w:w="1121" w:type="dxa"/>
          </w:tcPr>
          <w:p w14:paraId="41BFCD3B" w14:textId="12528D8E" w:rsidR="00C75A4B" w:rsidRPr="00C108E5" w:rsidRDefault="00C75A4B" w:rsidP="00E27B42">
            <w:pPr>
              <w:rPr>
                <w:rFonts w:ascii="Helvetica" w:hAnsi="Helvetica"/>
                <w:sz w:val="20"/>
                <w:szCs w:val="20"/>
              </w:rPr>
            </w:pPr>
            <w:r w:rsidRPr="00C108E5">
              <w:rPr>
                <w:rFonts w:ascii="Helvetica" w:hAnsi="Helvetica"/>
                <w:sz w:val="20"/>
                <w:szCs w:val="20"/>
              </w:rPr>
              <w:t>15.6</w:t>
            </w:r>
          </w:p>
        </w:tc>
        <w:tc>
          <w:tcPr>
            <w:tcW w:w="1568" w:type="dxa"/>
          </w:tcPr>
          <w:p w14:paraId="76313270" w14:textId="040D44B3" w:rsidR="00C75A4B" w:rsidRPr="00C108E5" w:rsidRDefault="00C75A4B" w:rsidP="00E27B42">
            <w:pPr>
              <w:rPr>
                <w:rFonts w:ascii="Helvetica" w:hAnsi="Helvetica"/>
                <w:sz w:val="20"/>
                <w:szCs w:val="20"/>
              </w:rPr>
            </w:pPr>
            <w:r w:rsidRPr="00C108E5">
              <w:rPr>
                <w:rFonts w:ascii="Helvetica" w:hAnsi="Helvetica"/>
                <w:sz w:val="20"/>
                <w:szCs w:val="20"/>
              </w:rPr>
              <w:t>1.5</w:t>
            </w:r>
          </w:p>
        </w:tc>
        <w:tc>
          <w:tcPr>
            <w:tcW w:w="885" w:type="dxa"/>
          </w:tcPr>
          <w:p w14:paraId="5868E301" w14:textId="3E953C65" w:rsidR="00C75A4B" w:rsidRPr="00C108E5" w:rsidRDefault="00C75A4B" w:rsidP="00E27B42">
            <w:pPr>
              <w:rPr>
                <w:rFonts w:ascii="Helvetica" w:hAnsi="Helvetica"/>
                <w:sz w:val="20"/>
                <w:szCs w:val="20"/>
              </w:rPr>
            </w:pPr>
            <w:r w:rsidRPr="00C108E5">
              <w:rPr>
                <w:rFonts w:ascii="Helvetica" w:hAnsi="Helvetica"/>
                <w:sz w:val="20"/>
                <w:szCs w:val="20"/>
              </w:rPr>
              <w:t>0.74</w:t>
            </w:r>
          </w:p>
        </w:tc>
        <w:tc>
          <w:tcPr>
            <w:tcW w:w="1285" w:type="dxa"/>
          </w:tcPr>
          <w:p w14:paraId="4AD981FE" w14:textId="0B5EED0D" w:rsidR="00C75A4B" w:rsidRPr="00C108E5" w:rsidRDefault="00C75A4B" w:rsidP="00E27B42">
            <w:pPr>
              <w:rPr>
                <w:rFonts w:ascii="Helvetica" w:hAnsi="Helvetica"/>
                <w:sz w:val="20"/>
                <w:szCs w:val="20"/>
              </w:rPr>
            </w:pPr>
            <w:r w:rsidRPr="00C108E5">
              <w:rPr>
                <w:rFonts w:ascii="Helvetica" w:hAnsi="Helvetica"/>
                <w:sz w:val="20"/>
                <w:szCs w:val="20"/>
              </w:rPr>
              <w:t>1.45 – 1.98</w:t>
            </w:r>
          </w:p>
        </w:tc>
      </w:tr>
      <w:tr w:rsidR="00C75A4B" w14:paraId="0A814AE9" w14:textId="77777777" w:rsidTr="00C75A4B">
        <w:trPr>
          <w:jc w:val="center"/>
        </w:trPr>
        <w:tc>
          <w:tcPr>
            <w:tcW w:w="1099" w:type="dxa"/>
          </w:tcPr>
          <w:p w14:paraId="40614599" w14:textId="15E21B63" w:rsidR="00C75A4B" w:rsidRPr="00C108E5" w:rsidRDefault="00C75A4B" w:rsidP="00E27B42">
            <w:pPr>
              <w:rPr>
                <w:rFonts w:ascii="Helvetica" w:hAnsi="Helvetica"/>
                <w:sz w:val="20"/>
                <w:szCs w:val="20"/>
              </w:rPr>
            </w:pPr>
            <w:r w:rsidRPr="00C108E5">
              <w:rPr>
                <w:rFonts w:ascii="Helvetica" w:hAnsi="Helvetica"/>
                <w:sz w:val="20"/>
                <w:szCs w:val="20"/>
              </w:rPr>
              <w:t>80</w:t>
            </w:r>
          </w:p>
        </w:tc>
        <w:tc>
          <w:tcPr>
            <w:tcW w:w="1121" w:type="dxa"/>
          </w:tcPr>
          <w:p w14:paraId="6EB7DF03" w14:textId="1E415931" w:rsidR="00C75A4B" w:rsidRPr="00C108E5" w:rsidRDefault="00C75A4B" w:rsidP="00E27B42">
            <w:pPr>
              <w:rPr>
                <w:rFonts w:ascii="Helvetica" w:hAnsi="Helvetica"/>
                <w:sz w:val="20"/>
                <w:szCs w:val="20"/>
              </w:rPr>
            </w:pPr>
            <w:r w:rsidRPr="00C108E5">
              <w:rPr>
                <w:rFonts w:ascii="Helvetica" w:hAnsi="Helvetica"/>
                <w:sz w:val="20"/>
                <w:szCs w:val="20"/>
              </w:rPr>
              <w:t>10.2</w:t>
            </w:r>
          </w:p>
        </w:tc>
        <w:tc>
          <w:tcPr>
            <w:tcW w:w="1568" w:type="dxa"/>
          </w:tcPr>
          <w:p w14:paraId="1EF36D87" w14:textId="4C07776E" w:rsidR="00C75A4B" w:rsidRPr="00C108E5" w:rsidRDefault="00C75A4B" w:rsidP="00E27B42">
            <w:pPr>
              <w:rPr>
                <w:rFonts w:ascii="Helvetica" w:hAnsi="Helvetica"/>
                <w:sz w:val="20"/>
                <w:szCs w:val="20"/>
              </w:rPr>
            </w:pPr>
            <w:r w:rsidRPr="00C108E5">
              <w:rPr>
                <w:rFonts w:ascii="Helvetica" w:hAnsi="Helvetica"/>
                <w:sz w:val="20"/>
                <w:szCs w:val="20"/>
              </w:rPr>
              <w:t>5</w:t>
            </w:r>
          </w:p>
        </w:tc>
        <w:tc>
          <w:tcPr>
            <w:tcW w:w="885" w:type="dxa"/>
          </w:tcPr>
          <w:p w14:paraId="7BBD9C32" w14:textId="30AA5564" w:rsidR="00C75A4B" w:rsidRPr="00C108E5" w:rsidRDefault="00C75A4B" w:rsidP="00E27B42">
            <w:pPr>
              <w:rPr>
                <w:rFonts w:ascii="Helvetica" w:hAnsi="Helvetica"/>
                <w:sz w:val="20"/>
                <w:szCs w:val="20"/>
              </w:rPr>
            </w:pPr>
            <w:r w:rsidRPr="00C108E5">
              <w:rPr>
                <w:rFonts w:ascii="Helvetica" w:hAnsi="Helvetica"/>
                <w:sz w:val="20"/>
                <w:szCs w:val="20"/>
              </w:rPr>
              <w:t>1.04</w:t>
            </w:r>
          </w:p>
        </w:tc>
        <w:tc>
          <w:tcPr>
            <w:tcW w:w="1285" w:type="dxa"/>
          </w:tcPr>
          <w:p w14:paraId="341E274C" w14:textId="0594FCD4" w:rsidR="00C75A4B" w:rsidRPr="00C108E5" w:rsidRDefault="00C75A4B" w:rsidP="00E27B42">
            <w:pPr>
              <w:rPr>
                <w:rFonts w:ascii="Helvetica" w:hAnsi="Helvetica"/>
                <w:sz w:val="20"/>
                <w:szCs w:val="20"/>
              </w:rPr>
            </w:pPr>
            <w:r w:rsidRPr="00C108E5">
              <w:rPr>
                <w:rFonts w:ascii="Helvetica" w:hAnsi="Helvetica"/>
                <w:sz w:val="20"/>
                <w:szCs w:val="20"/>
              </w:rPr>
              <w:t>1.45 – 2.0</w:t>
            </w:r>
          </w:p>
        </w:tc>
      </w:tr>
    </w:tbl>
    <w:p w14:paraId="2CEAB528" w14:textId="77777777" w:rsidR="007A2FB9" w:rsidRDefault="007A2FB9" w:rsidP="00E27B42">
      <w:pPr>
        <w:ind w:firstLine="720"/>
        <w:rPr>
          <w:rFonts w:ascii="Helvetica" w:hAnsi="Helvetica"/>
        </w:rPr>
      </w:pPr>
    </w:p>
    <w:p w14:paraId="67A6624E" w14:textId="080E622E" w:rsidR="00C52407" w:rsidRDefault="00C52407" w:rsidP="00E27B42">
      <w:pPr>
        <w:ind w:firstLine="720"/>
        <w:rPr>
          <w:rFonts w:ascii="Helvetica" w:hAnsi="Helvetica"/>
        </w:rPr>
      </w:pPr>
      <w:r>
        <w:rPr>
          <w:rFonts w:ascii="Helvetica" w:hAnsi="Helvetica"/>
        </w:rPr>
        <w:lastRenderedPageBreak/>
        <w:t>All cases shown in the table use B</w:t>
      </w:r>
      <w:r w:rsidRPr="00C52407">
        <w:rPr>
          <w:rFonts w:ascii="Helvetica" w:hAnsi="Helvetica"/>
          <w:vertAlign w:val="subscript"/>
        </w:rPr>
        <w:t>T</w:t>
      </w:r>
      <w:r>
        <w:rPr>
          <w:rFonts w:ascii="Helvetica" w:hAnsi="Helvetica"/>
        </w:rPr>
        <w:t xml:space="preserve"> = 1T and the same shape with a 15 cm outer gap (κ ~ 2.8).  The limits to the shaping parameters raised in question 1.1.2 should be addressed for these proposed scenarios.</w:t>
      </w:r>
      <w:r w:rsidR="00524982">
        <w:rPr>
          <w:rFonts w:ascii="Helvetica" w:hAnsi="Helvetica"/>
        </w:rPr>
        <w:t xml:space="preserve"> Operations at reduced B</w:t>
      </w:r>
      <w:r w:rsidR="00524982" w:rsidRPr="00524982">
        <w:rPr>
          <w:rFonts w:ascii="Helvetica" w:hAnsi="Helvetica"/>
          <w:vertAlign w:val="subscript"/>
        </w:rPr>
        <w:t>T</w:t>
      </w:r>
      <w:r w:rsidR="00524982">
        <w:rPr>
          <w:rFonts w:ascii="Helvetica" w:hAnsi="Helvetica"/>
        </w:rPr>
        <w:t>, I</w:t>
      </w:r>
      <w:r w:rsidR="00524982" w:rsidRPr="00524982">
        <w:rPr>
          <w:rFonts w:ascii="Helvetica" w:hAnsi="Helvetica"/>
          <w:vertAlign w:val="subscript"/>
        </w:rPr>
        <w:t>p</w:t>
      </w:r>
      <w:r w:rsidR="00524982">
        <w:rPr>
          <w:rFonts w:ascii="Helvetica" w:hAnsi="Helvetica"/>
        </w:rPr>
        <w:t xml:space="preserve"> will be pursued, but it is anticipated that these scenarios would be less challenging to the first wall.</w:t>
      </w:r>
      <w:r w:rsidR="00417A84">
        <w:rPr>
          <w:rFonts w:ascii="Helvetica" w:hAnsi="Helvetica"/>
        </w:rPr>
        <w:t xml:space="preserve">  </w:t>
      </w:r>
    </w:p>
    <w:p w14:paraId="46248783" w14:textId="77777777" w:rsidR="00524982" w:rsidRDefault="00524982" w:rsidP="00524982">
      <w:pPr>
        <w:rPr>
          <w:rFonts w:ascii="Helvetica" w:hAnsi="Helvetica"/>
        </w:rPr>
      </w:pPr>
    </w:p>
    <w:p w14:paraId="026F8A41" w14:textId="0C17950A" w:rsidR="00524982" w:rsidRDefault="00524982" w:rsidP="00524982">
      <w:pPr>
        <w:rPr>
          <w:rFonts w:ascii="Helvetica" w:hAnsi="Helvetica"/>
        </w:rPr>
      </w:pPr>
      <w:r>
        <w:rPr>
          <w:rFonts w:ascii="Helvetica" w:hAnsi="Helvetica"/>
          <w:u w:val="single"/>
        </w:rPr>
        <w:t>1.3 100% non-inductive current</w:t>
      </w:r>
    </w:p>
    <w:p w14:paraId="7FBD67AA" w14:textId="77777777" w:rsidR="00524982" w:rsidRDefault="00524982" w:rsidP="00524982">
      <w:pPr>
        <w:rPr>
          <w:rFonts w:ascii="Helvetica" w:hAnsi="Helvetica"/>
        </w:rPr>
      </w:pPr>
    </w:p>
    <w:p w14:paraId="203EDD16" w14:textId="53D93A80" w:rsidR="00524982" w:rsidRDefault="00524982" w:rsidP="00D4113E">
      <w:pPr>
        <w:ind w:firstLine="720"/>
        <w:rPr>
          <w:rFonts w:ascii="Helvetica" w:hAnsi="Helvetica"/>
        </w:rPr>
      </w:pPr>
      <w:r>
        <w:rPr>
          <w:rFonts w:ascii="Helvetica" w:hAnsi="Helvetica"/>
        </w:rPr>
        <w:t xml:space="preserve">One </w:t>
      </w:r>
      <w:r w:rsidR="004C4144">
        <w:rPr>
          <w:rFonts w:ascii="Helvetica" w:hAnsi="Helvetica"/>
        </w:rPr>
        <w:t>facility goal for NSTX-U</w:t>
      </w:r>
      <w:r>
        <w:rPr>
          <w:rFonts w:ascii="Helvetica" w:hAnsi="Helvetica"/>
        </w:rPr>
        <w:t xml:space="preserve"> </w:t>
      </w:r>
      <w:r w:rsidR="00D4113E">
        <w:rPr>
          <w:rFonts w:ascii="Helvetica" w:hAnsi="Helvetica"/>
        </w:rPr>
        <w:t>i</w:t>
      </w:r>
      <w:r>
        <w:rPr>
          <w:rFonts w:ascii="Helvetica" w:hAnsi="Helvetica"/>
        </w:rPr>
        <w:t xml:space="preserve">s the </w:t>
      </w:r>
      <w:r w:rsidR="00D4113E">
        <w:rPr>
          <w:rFonts w:ascii="Helvetica" w:hAnsi="Helvetica"/>
        </w:rPr>
        <w:t xml:space="preserve">demonstration </w:t>
      </w:r>
      <w:r>
        <w:rPr>
          <w:rFonts w:ascii="Helvetica" w:hAnsi="Helvetica"/>
        </w:rPr>
        <w:t xml:space="preserve">of 100% non-inductive sustainment.  As a result, ASC </w:t>
      </w:r>
      <w:r w:rsidR="006501A1">
        <w:rPr>
          <w:rFonts w:ascii="Helvetica" w:hAnsi="Helvetica"/>
        </w:rPr>
        <w:t>places high priority on</w:t>
      </w:r>
      <w:r>
        <w:rPr>
          <w:rFonts w:ascii="Helvetica" w:hAnsi="Helvetica"/>
        </w:rPr>
        <w:t xml:space="preserve"> developing the control tools and operational scenarios necessary for achieving this goal. These scenarios will operate at lower I</w:t>
      </w:r>
      <w:r w:rsidRPr="002516BD">
        <w:rPr>
          <w:rFonts w:ascii="Helvetica" w:hAnsi="Helvetica"/>
          <w:vertAlign w:val="subscript"/>
        </w:rPr>
        <w:t>p</w:t>
      </w:r>
      <w:r>
        <w:rPr>
          <w:rFonts w:ascii="Helvetica" w:hAnsi="Helvetica"/>
        </w:rPr>
        <w:t xml:space="preserve"> than the partially inductive scenarios (1.1 and 1.2), thus it is anticipated that these scenarios are less challenging to the first wall.  The table b</w:t>
      </w:r>
      <w:r w:rsidR="00EA4A41">
        <w:rPr>
          <w:rFonts w:ascii="Helvetica" w:hAnsi="Helvetica"/>
        </w:rPr>
        <w:t>elow comes from the NSTX-U five-</w:t>
      </w:r>
      <w:r>
        <w:rPr>
          <w:rFonts w:ascii="Helvetica" w:hAnsi="Helvetica"/>
        </w:rPr>
        <w:t>year plan:</w:t>
      </w:r>
    </w:p>
    <w:p w14:paraId="499587DB" w14:textId="77777777" w:rsidR="00D4113E" w:rsidRDefault="00D4113E" w:rsidP="00D4113E">
      <w:pPr>
        <w:jc w:val="center"/>
        <w:rPr>
          <w:rFonts w:ascii="Helvetica" w:hAnsi="Helvetica"/>
        </w:rPr>
      </w:pPr>
    </w:p>
    <w:p w14:paraId="5E0CE6D1" w14:textId="2C6CC4BF" w:rsidR="00D4113E" w:rsidRPr="00D4113E" w:rsidRDefault="00D4113E" w:rsidP="00D4113E">
      <w:pPr>
        <w:jc w:val="center"/>
        <w:rPr>
          <w:rFonts w:ascii="Times" w:eastAsia="Times New Roman" w:hAnsi="Times" w:cs="Times New Roman"/>
          <w:sz w:val="20"/>
          <w:szCs w:val="20"/>
        </w:rPr>
      </w:pPr>
      <w:r>
        <w:rPr>
          <w:rFonts w:ascii="Arial" w:eastAsia="Times New Roman" w:hAnsi="Arial" w:cs="Arial"/>
          <w:noProof/>
          <w:color w:val="000000"/>
          <w:sz w:val="22"/>
          <w:szCs w:val="22"/>
        </w:rPr>
        <w:drawing>
          <wp:inline distT="0" distB="0" distL="0" distR="0" wp14:anchorId="064C71ED" wp14:editId="338612D4">
            <wp:extent cx="4622165" cy="1481455"/>
            <wp:effectExtent l="0" t="0" r="635" b="0"/>
            <wp:docPr id="1" name="Picture 1" descr="https://lh5.googleusercontent.com/y44qaDhTh4cmxI1Yp-v7SOPvpaePBwsfKoJO3yXGgvQcU_04llieEWfj67X7BPVklW05cyTnDGuMSu3l5ZSNvIKA7WcBgrX8w96DUyBavFchHGEXaBEPty9gDCJal0wylrp2iL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y44qaDhTh4cmxI1Yp-v7SOPvpaePBwsfKoJO3yXGgvQcU_04llieEWfj67X7BPVklW05cyTnDGuMSu3l5ZSNvIKA7WcBgrX8w96DUyBavFchHGEXaBEPty9gDCJal0wylrp2iL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165" cy="1481455"/>
                    </a:xfrm>
                    <a:prstGeom prst="rect">
                      <a:avLst/>
                    </a:prstGeom>
                    <a:noFill/>
                    <a:ln>
                      <a:noFill/>
                    </a:ln>
                  </pic:spPr>
                </pic:pic>
              </a:graphicData>
            </a:graphic>
          </wp:inline>
        </w:drawing>
      </w:r>
    </w:p>
    <w:p w14:paraId="0889B4E7" w14:textId="77777777" w:rsidR="00D4113E" w:rsidRDefault="00D4113E" w:rsidP="00D4113E">
      <w:pPr>
        <w:rPr>
          <w:rFonts w:ascii="Helvetica" w:hAnsi="Helvetica"/>
        </w:rPr>
      </w:pPr>
    </w:p>
    <w:p w14:paraId="04558D8A" w14:textId="4A13A8AB" w:rsidR="00C75A4B" w:rsidRDefault="00511695" w:rsidP="00D4113E">
      <w:pPr>
        <w:rPr>
          <w:rFonts w:ascii="Helvetica" w:hAnsi="Helvetica"/>
        </w:rPr>
      </w:pPr>
      <w:r>
        <w:rPr>
          <w:rFonts w:ascii="Helvetica" w:hAnsi="Helvetica"/>
        </w:rPr>
        <w:t xml:space="preserve">Experiments will have to be conducted to explore the impact </w:t>
      </w:r>
      <w:r w:rsidR="00DA0B35">
        <w:rPr>
          <w:rFonts w:ascii="Helvetica" w:hAnsi="Helvetica"/>
        </w:rPr>
        <w:t xml:space="preserve">(if any) </w:t>
      </w:r>
      <w:r>
        <w:rPr>
          <w:rFonts w:ascii="Helvetica" w:hAnsi="Helvetica"/>
        </w:rPr>
        <w:t xml:space="preserve">of high flux expansion and snowflake configurations on </w:t>
      </w:r>
      <w:r w:rsidR="000D73F4">
        <w:rPr>
          <w:rFonts w:ascii="Helvetica" w:hAnsi="Helvetica"/>
        </w:rPr>
        <w:t>obtaining 100% non-inductive</w:t>
      </w:r>
      <w:r>
        <w:rPr>
          <w:rFonts w:ascii="Helvetica" w:hAnsi="Helvetica"/>
        </w:rPr>
        <w:t xml:space="preserve"> scenarios. </w:t>
      </w:r>
      <w:r w:rsidR="000D73F4">
        <w:rPr>
          <w:rFonts w:ascii="Helvetica" w:hAnsi="Helvetica"/>
        </w:rPr>
        <w:t>It was suggested that the elevated q</w:t>
      </w:r>
      <w:r w:rsidR="000D73F4" w:rsidRPr="000D73F4">
        <w:rPr>
          <w:rFonts w:ascii="Helvetica" w:hAnsi="Helvetica"/>
          <w:vertAlign w:val="subscript"/>
        </w:rPr>
        <w:t>95</w:t>
      </w:r>
      <w:r w:rsidR="000D73F4">
        <w:rPr>
          <w:rFonts w:ascii="Helvetica" w:hAnsi="Helvetica"/>
        </w:rPr>
        <w:t xml:space="preserve"> in perfect snowflakes could be beneficial for non-inductive current drive.</w:t>
      </w:r>
      <w:r w:rsidR="00C75A4B">
        <w:rPr>
          <w:rFonts w:ascii="Helvetica" w:hAnsi="Helvetica"/>
        </w:rPr>
        <w:t xml:space="preserve"> Therefore, the TSG feels any equilibria from section </w:t>
      </w:r>
      <w:r w:rsidR="001E6509">
        <w:rPr>
          <w:rFonts w:ascii="Helvetica" w:hAnsi="Helvetica"/>
        </w:rPr>
        <w:t xml:space="preserve">1.1 and </w:t>
      </w:r>
      <w:r w:rsidR="00C75A4B">
        <w:rPr>
          <w:rFonts w:ascii="Helvetica" w:hAnsi="Helvetica"/>
        </w:rPr>
        <w:t>1.2 that rely on large flux expansion are permitted in these scenarios.</w:t>
      </w:r>
    </w:p>
    <w:p w14:paraId="00FF10DF" w14:textId="77777777" w:rsidR="00DA0B35" w:rsidRDefault="00DA0B35" w:rsidP="00D4113E">
      <w:pPr>
        <w:rPr>
          <w:rFonts w:ascii="Helvetica" w:hAnsi="Helvetica"/>
        </w:rPr>
      </w:pPr>
    </w:p>
    <w:p w14:paraId="5B8A5605" w14:textId="46CB8F4A" w:rsidR="00DA0B35" w:rsidRPr="00DA0B35" w:rsidRDefault="00DA0B35" w:rsidP="00D4113E">
      <w:pPr>
        <w:rPr>
          <w:rFonts w:ascii="Helvetica" w:hAnsi="Helvetica"/>
          <w:u w:val="single"/>
        </w:rPr>
      </w:pPr>
      <w:r w:rsidRPr="00DA0B35">
        <w:rPr>
          <w:rFonts w:ascii="Helvetica" w:hAnsi="Helvetica"/>
          <w:u w:val="single"/>
        </w:rPr>
        <w:t>1.4 Partially inductive long-pulse</w:t>
      </w:r>
    </w:p>
    <w:p w14:paraId="216BFCBC" w14:textId="77777777" w:rsidR="00DA0B35" w:rsidRDefault="00DA0B35" w:rsidP="00D4113E">
      <w:pPr>
        <w:rPr>
          <w:rFonts w:ascii="Helvetica" w:hAnsi="Helvetica"/>
        </w:rPr>
      </w:pPr>
    </w:p>
    <w:p w14:paraId="0A44DF4E" w14:textId="273277CE" w:rsidR="00DA0B35" w:rsidRDefault="00DA0B35" w:rsidP="00D4113E">
      <w:pPr>
        <w:rPr>
          <w:rFonts w:ascii="Helvetica" w:hAnsi="Helvetica"/>
        </w:rPr>
      </w:pPr>
      <w:r>
        <w:rPr>
          <w:rFonts w:ascii="Helvetica" w:hAnsi="Helvetica"/>
        </w:rPr>
        <w:tab/>
        <w:t>Experiments may desire H-mode pulses that have a flattop time longer than 5s at B</w:t>
      </w:r>
      <w:r w:rsidRPr="00DA0B35">
        <w:rPr>
          <w:rFonts w:ascii="Helvetica" w:hAnsi="Helvetica"/>
          <w:vertAlign w:val="subscript"/>
        </w:rPr>
        <w:t>T</w:t>
      </w:r>
      <w:r>
        <w:rPr>
          <w:rFonts w:ascii="Helvetica" w:hAnsi="Helvetica"/>
        </w:rPr>
        <w:t xml:space="preserve"> &lt; 1 T and I</w:t>
      </w:r>
      <w:r w:rsidRPr="00DA0B35">
        <w:rPr>
          <w:rFonts w:ascii="Helvetica" w:hAnsi="Helvetica"/>
          <w:vertAlign w:val="subscript"/>
        </w:rPr>
        <w:t>p</w:t>
      </w:r>
      <w:r>
        <w:rPr>
          <w:rFonts w:ascii="Helvetica" w:hAnsi="Helvetica"/>
        </w:rPr>
        <w:t xml:space="preserve"> &lt; 2 MA.</w:t>
      </w:r>
      <w:r w:rsidR="00E824BF">
        <w:rPr>
          <w:rFonts w:ascii="Helvetica" w:hAnsi="Helvetica"/>
        </w:rPr>
        <w:t xml:space="preserve"> For example, the TF coil would support a 10s pulse at B</w:t>
      </w:r>
      <w:r w:rsidR="00E824BF" w:rsidRPr="00E824BF">
        <w:rPr>
          <w:rFonts w:ascii="Helvetica" w:hAnsi="Helvetica"/>
          <w:vertAlign w:val="subscript"/>
        </w:rPr>
        <w:t>T</w:t>
      </w:r>
      <w:r w:rsidR="00E824BF">
        <w:rPr>
          <w:rFonts w:ascii="Helvetica" w:hAnsi="Helvetica"/>
        </w:rPr>
        <w:t xml:space="preserve"> = 0.75 T. Long-pulse discharges would support studies in wall retention, particle control and disruption avoidance, which contributes to the ASC mission of advancing the understanding needed for next step devices.</w:t>
      </w:r>
    </w:p>
    <w:p w14:paraId="3F3BD8F3" w14:textId="77777777" w:rsidR="003647DA" w:rsidRDefault="003647DA" w:rsidP="00D4113E">
      <w:pPr>
        <w:rPr>
          <w:rFonts w:ascii="Helvetica" w:hAnsi="Helvetica"/>
        </w:rPr>
      </w:pPr>
    </w:p>
    <w:p w14:paraId="75FEBBBD" w14:textId="32DFBADB" w:rsidR="003647DA" w:rsidRDefault="003647DA" w:rsidP="003647DA">
      <w:pPr>
        <w:ind w:firstLine="720"/>
        <w:rPr>
          <w:rFonts w:ascii="Helvetica" w:hAnsi="Helvetica"/>
        </w:rPr>
      </w:pPr>
      <w:r>
        <w:rPr>
          <w:rFonts w:ascii="Helvetica" w:hAnsi="Helvetica"/>
        </w:rPr>
        <w:t>T</w:t>
      </w:r>
      <w:r w:rsidR="00FA1BAA">
        <w:rPr>
          <w:rFonts w:ascii="Helvetica" w:hAnsi="Helvetica"/>
        </w:rPr>
        <w:t>w</w:t>
      </w:r>
      <w:r>
        <w:rPr>
          <w:rFonts w:ascii="Helvetica" w:hAnsi="Helvetica"/>
        </w:rPr>
        <w:t xml:space="preserve">o scenarios studied in [Gerhardt, NF 52 (2012) 083020] </w:t>
      </w:r>
      <w:r w:rsidR="00FA1BAA">
        <w:rPr>
          <w:rFonts w:ascii="Helvetica" w:hAnsi="Helvetica"/>
        </w:rPr>
        <w:t>at B</w:t>
      </w:r>
      <w:r w:rsidR="00FA1BAA" w:rsidRPr="00FA1BAA">
        <w:rPr>
          <w:rFonts w:ascii="Helvetica" w:hAnsi="Helvetica"/>
          <w:vertAlign w:val="subscript"/>
        </w:rPr>
        <w:t>T</w:t>
      </w:r>
      <w:r w:rsidR="00FA1BAA">
        <w:rPr>
          <w:rFonts w:ascii="Helvetica" w:hAnsi="Helvetica"/>
        </w:rPr>
        <w:t xml:space="preserve"> = 0.75 T used either all six beams at 65 kV injecting continuously or at 80 kV </w:t>
      </w:r>
      <w:r w:rsidR="002762D4">
        <w:rPr>
          <w:rFonts w:ascii="Helvetica" w:hAnsi="Helvetica"/>
        </w:rPr>
        <w:t xml:space="preserve">with </w:t>
      </w:r>
      <w:r w:rsidR="00F8713C">
        <w:rPr>
          <w:rFonts w:ascii="Helvetica" w:hAnsi="Helvetica"/>
        </w:rPr>
        <w:t>50% duty cycle</w:t>
      </w:r>
      <w:r w:rsidR="002762D4">
        <w:rPr>
          <w:rFonts w:ascii="Helvetica" w:hAnsi="Helvetica"/>
        </w:rPr>
        <w:t>:</w:t>
      </w:r>
    </w:p>
    <w:p w14:paraId="65A8C182" w14:textId="77777777" w:rsidR="002762D4" w:rsidRDefault="002762D4" w:rsidP="003647DA">
      <w:pPr>
        <w:ind w:firstLine="720"/>
        <w:rPr>
          <w:rFonts w:ascii="Helvetica" w:hAnsi="Helvetica"/>
        </w:rPr>
      </w:pPr>
    </w:p>
    <w:p w14:paraId="3F392F4B" w14:textId="77777777" w:rsidR="003930CC" w:rsidRDefault="003930CC" w:rsidP="003647DA">
      <w:pPr>
        <w:ind w:firstLine="720"/>
        <w:rPr>
          <w:rFonts w:ascii="Helvetica" w:hAnsi="Helvetica"/>
        </w:rPr>
      </w:pPr>
      <w:bookmarkStart w:id="1" w:name="_GoBack"/>
      <w:bookmarkEnd w:id="1"/>
    </w:p>
    <w:tbl>
      <w:tblPr>
        <w:tblStyle w:val="TableGrid"/>
        <w:tblW w:w="5958" w:type="dxa"/>
        <w:jc w:val="center"/>
        <w:tblLook w:val="04A0" w:firstRow="1" w:lastRow="0" w:firstColumn="1" w:lastColumn="0" w:noHBand="0" w:noVBand="1"/>
      </w:tblPr>
      <w:tblGrid>
        <w:gridCol w:w="1099"/>
        <w:gridCol w:w="1121"/>
        <w:gridCol w:w="1568"/>
        <w:gridCol w:w="885"/>
        <w:gridCol w:w="1285"/>
      </w:tblGrid>
      <w:tr w:rsidR="003930CC" w:rsidRPr="00C108E5" w14:paraId="3FB8BB68" w14:textId="77777777" w:rsidTr="003930CC">
        <w:trPr>
          <w:jc w:val="center"/>
        </w:trPr>
        <w:tc>
          <w:tcPr>
            <w:tcW w:w="1099" w:type="dxa"/>
          </w:tcPr>
          <w:p w14:paraId="24F1FBD2" w14:textId="77777777" w:rsidR="003930CC" w:rsidRPr="00C108E5" w:rsidRDefault="003930CC" w:rsidP="002762D4">
            <w:pPr>
              <w:rPr>
                <w:rFonts w:ascii="Helvetica" w:hAnsi="Helvetica"/>
                <w:sz w:val="20"/>
                <w:szCs w:val="20"/>
              </w:rPr>
            </w:pPr>
            <w:r w:rsidRPr="00C108E5">
              <w:rPr>
                <w:rFonts w:ascii="Helvetica" w:hAnsi="Helvetica"/>
                <w:sz w:val="20"/>
                <w:szCs w:val="20"/>
              </w:rPr>
              <w:lastRenderedPageBreak/>
              <w:t>NBI (kV)</w:t>
            </w:r>
          </w:p>
        </w:tc>
        <w:tc>
          <w:tcPr>
            <w:tcW w:w="1121" w:type="dxa"/>
          </w:tcPr>
          <w:p w14:paraId="72566EB1" w14:textId="77777777" w:rsidR="003930CC" w:rsidRPr="00C108E5" w:rsidRDefault="003930CC" w:rsidP="002762D4">
            <w:pPr>
              <w:rPr>
                <w:rFonts w:ascii="Helvetica" w:hAnsi="Helvetica"/>
                <w:sz w:val="20"/>
                <w:szCs w:val="20"/>
              </w:rPr>
            </w:pPr>
            <w:r w:rsidRPr="00C108E5">
              <w:rPr>
                <w:rFonts w:ascii="Helvetica" w:hAnsi="Helvetica"/>
                <w:sz w:val="20"/>
                <w:szCs w:val="20"/>
              </w:rPr>
              <w:t>P</w:t>
            </w:r>
            <w:r w:rsidRPr="00C108E5">
              <w:rPr>
                <w:rFonts w:ascii="Helvetica" w:hAnsi="Helvetica"/>
                <w:sz w:val="20"/>
                <w:szCs w:val="20"/>
                <w:vertAlign w:val="subscript"/>
              </w:rPr>
              <w:t>inj</w:t>
            </w:r>
            <w:r w:rsidRPr="00C108E5">
              <w:rPr>
                <w:rFonts w:ascii="Helvetica" w:hAnsi="Helvetica"/>
                <w:sz w:val="20"/>
                <w:szCs w:val="20"/>
              </w:rPr>
              <w:t xml:space="preserve"> (MW)</w:t>
            </w:r>
          </w:p>
        </w:tc>
        <w:tc>
          <w:tcPr>
            <w:tcW w:w="1568" w:type="dxa"/>
          </w:tcPr>
          <w:p w14:paraId="78E18079" w14:textId="77777777" w:rsidR="003930CC" w:rsidRPr="00C108E5" w:rsidRDefault="003930CC" w:rsidP="002762D4">
            <w:pPr>
              <w:rPr>
                <w:rFonts w:ascii="Helvetica" w:hAnsi="Helvetica"/>
                <w:sz w:val="20"/>
                <w:szCs w:val="20"/>
              </w:rPr>
            </w:pPr>
            <w:r w:rsidRPr="00C108E5">
              <w:rPr>
                <w:rFonts w:ascii="Helvetica" w:hAnsi="Helvetica"/>
                <w:sz w:val="20"/>
                <w:szCs w:val="20"/>
              </w:rPr>
              <w:t>Max flattop (s)</w:t>
            </w:r>
          </w:p>
        </w:tc>
        <w:tc>
          <w:tcPr>
            <w:tcW w:w="885" w:type="dxa"/>
          </w:tcPr>
          <w:p w14:paraId="759D7770" w14:textId="77777777" w:rsidR="003930CC" w:rsidRPr="00C108E5" w:rsidRDefault="003930CC" w:rsidP="002762D4">
            <w:pPr>
              <w:rPr>
                <w:rFonts w:ascii="Helvetica" w:hAnsi="Helvetica"/>
                <w:sz w:val="20"/>
                <w:szCs w:val="20"/>
              </w:rPr>
            </w:pPr>
            <w:r w:rsidRPr="00C108E5">
              <w:rPr>
                <w:rFonts w:ascii="Helvetica" w:hAnsi="Helvetica"/>
                <w:sz w:val="20"/>
                <w:szCs w:val="20"/>
              </w:rPr>
              <w:t>f</w:t>
            </w:r>
            <w:r w:rsidRPr="00C108E5">
              <w:rPr>
                <w:rFonts w:ascii="Helvetica" w:hAnsi="Helvetica"/>
                <w:sz w:val="20"/>
                <w:szCs w:val="20"/>
                <w:vertAlign w:val="subscript"/>
              </w:rPr>
              <w:t>GW</w:t>
            </w:r>
          </w:p>
        </w:tc>
        <w:tc>
          <w:tcPr>
            <w:tcW w:w="1285" w:type="dxa"/>
          </w:tcPr>
          <w:p w14:paraId="34FBECD0" w14:textId="77777777" w:rsidR="003930CC" w:rsidRPr="00C108E5" w:rsidRDefault="003930CC" w:rsidP="002762D4">
            <w:pPr>
              <w:rPr>
                <w:rFonts w:ascii="Helvetica" w:hAnsi="Helvetica"/>
                <w:sz w:val="20"/>
                <w:szCs w:val="20"/>
              </w:rPr>
            </w:pPr>
            <w:r w:rsidRPr="00C108E5">
              <w:rPr>
                <w:rFonts w:ascii="Helvetica" w:hAnsi="Helvetica"/>
                <w:sz w:val="20"/>
                <w:szCs w:val="20"/>
              </w:rPr>
              <w:t>Ip (MA)</w:t>
            </w:r>
          </w:p>
        </w:tc>
      </w:tr>
      <w:tr w:rsidR="003930CC" w:rsidRPr="00C108E5" w14:paraId="556689BF" w14:textId="77777777" w:rsidTr="003930CC">
        <w:trPr>
          <w:jc w:val="center"/>
        </w:trPr>
        <w:tc>
          <w:tcPr>
            <w:tcW w:w="1099" w:type="dxa"/>
          </w:tcPr>
          <w:p w14:paraId="2CFA6870" w14:textId="2D4E3AF9" w:rsidR="003930CC" w:rsidRPr="00C108E5" w:rsidRDefault="003930CC" w:rsidP="002762D4">
            <w:pPr>
              <w:rPr>
                <w:rFonts w:ascii="Helvetica" w:hAnsi="Helvetica"/>
                <w:sz w:val="20"/>
                <w:szCs w:val="20"/>
              </w:rPr>
            </w:pPr>
            <w:r>
              <w:rPr>
                <w:rFonts w:ascii="Helvetica" w:hAnsi="Helvetica"/>
                <w:sz w:val="20"/>
                <w:szCs w:val="20"/>
              </w:rPr>
              <w:t>65</w:t>
            </w:r>
          </w:p>
        </w:tc>
        <w:tc>
          <w:tcPr>
            <w:tcW w:w="1121" w:type="dxa"/>
          </w:tcPr>
          <w:p w14:paraId="1D855A7F" w14:textId="40784FD5" w:rsidR="003930CC" w:rsidRPr="00C108E5" w:rsidRDefault="003930CC" w:rsidP="002762D4">
            <w:pPr>
              <w:rPr>
                <w:rFonts w:ascii="Helvetica" w:hAnsi="Helvetica"/>
                <w:sz w:val="20"/>
                <w:szCs w:val="20"/>
              </w:rPr>
            </w:pPr>
            <w:r>
              <w:rPr>
                <w:rFonts w:ascii="Helvetica" w:hAnsi="Helvetica"/>
                <w:sz w:val="20"/>
                <w:szCs w:val="20"/>
              </w:rPr>
              <w:t>6.6</w:t>
            </w:r>
          </w:p>
        </w:tc>
        <w:tc>
          <w:tcPr>
            <w:tcW w:w="1568" w:type="dxa"/>
          </w:tcPr>
          <w:p w14:paraId="1FED6A65" w14:textId="0624744C" w:rsidR="003930CC" w:rsidRPr="00C108E5" w:rsidRDefault="003930CC" w:rsidP="002762D4">
            <w:pPr>
              <w:rPr>
                <w:rFonts w:ascii="Helvetica" w:hAnsi="Helvetica"/>
                <w:sz w:val="20"/>
                <w:szCs w:val="20"/>
              </w:rPr>
            </w:pPr>
            <w:r>
              <w:rPr>
                <w:rFonts w:ascii="Helvetica" w:hAnsi="Helvetica"/>
                <w:sz w:val="20"/>
                <w:szCs w:val="20"/>
              </w:rPr>
              <w:t>8</w:t>
            </w:r>
          </w:p>
        </w:tc>
        <w:tc>
          <w:tcPr>
            <w:tcW w:w="885" w:type="dxa"/>
          </w:tcPr>
          <w:p w14:paraId="047BBCD9" w14:textId="23E87390" w:rsidR="003930CC" w:rsidRPr="00C108E5" w:rsidRDefault="003930CC" w:rsidP="002762D4">
            <w:pPr>
              <w:rPr>
                <w:rFonts w:ascii="Helvetica" w:hAnsi="Helvetica"/>
                <w:sz w:val="20"/>
                <w:szCs w:val="20"/>
              </w:rPr>
            </w:pPr>
            <w:r>
              <w:rPr>
                <w:rFonts w:ascii="Helvetica" w:hAnsi="Helvetica"/>
                <w:sz w:val="20"/>
                <w:szCs w:val="20"/>
              </w:rPr>
              <w:t>0.73</w:t>
            </w:r>
          </w:p>
        </w:tc>
        <w:tc>
          <w:tcPr>
            <w:tcW w:w="1285" w:type="dxa"/>
          </w:tcPr>
          <w:p w14:paraId="1A088F1A" w14:textId="51715F28" w:rsidR="003930CC" w:rsidRPr="00C108E5" w:rsidRDefault="003930CC" w:rsidP="002762D4">
            <w:pPr>
              <w:rPr>
                <w:rFonts w:ascii="Helvetica" w:hAnsi="Helvetica"/>
                <w:sz w:val="20"/>
                <w:szCs w:val="20"/>
              </w:rPr>
            </w:pPr>
            <w:r>
              <w:rPr>
                <w:rFonts w:ascii="Helvetica" w:hAnsi="Helvetica"/>
                <w:sz w:val="20"/>
                <w:szCs w:val="20"/>
              </w:rPr>
              <w:t>1.0 – 1.25</w:t>
            </w:r>
          </w:p>
        </w:tc>
      </w:tr>
      <w:tr w:rsidR="003930CC" w:rsidRPr="00C108E5" w14:paraId="41C3C4DE" w14:textId="77777777" w:rsidTr="003930CC">
        <w:trPr>
          <w:jc w:val="center"/>
        </w:trPr>
        <w:tc>
          <w:tcPr>
            <w:tcW w:w="1099" w:type="dxa"/>
          </w:tcPr>
          <w:p w14:paraId="59BF5228" w14:textId="4D38BB47" w:rsidR="003930CC" w:rsidRPr="00C108E5" w:rsidRDefault="003930CC" w:rsidP="002762D4">
            <w:pPr>
              <w:rPr>
                <w:rFonts w:ascii="Helvetica" w:hAnsi="Helvetica"/>
                <w:sz w:val="20"/>
                <w:szCs w:val="20"/>
              </w:rPr>
            </w:pPr>
            <w:r>
              <w:rPr>
                <w:rFonts w:ascii="Helvetica" w:hAnsi="Helvetica"/>
                <w:sz w:val="20"/>
                <w:szCs w:val="20"/>
              </w:rPr>
              <w:t>80</w:t>
            </w:r>
          </w:p>
        </w:tc>
        <w:tc>
          <w:tcPr>
            <w:tcW w:w="1121" w:type="dxa"/>
          </w:tcPr>
          <w:p w14:paraId="1BBFA658" w14:textId="7FE17F36" w:rsidR="003930CC" w:rsidRPr="00C108E5" w:rsidRDefault="003930CC" w:rsidP="002762D4">
            <w:pPr>
              <w:rPr>
                <w:rFonts w:ascii="Helvetica" w:hAnsi="Helvetica"/>
                <w:sz w:val="20"/>
                <w:szCs w:val="20"/>
              </w:rPr>
            </w:pPr>
            <w:r>
              <w:rPr>
                <w:rFonts w:ascii="Helvetica" w:hAnsi="Helvetica"/>
                <w:sz w:val="20"/>
                <w:szCs w:val="20"/>
              </w:rPr>
              <w:t>5.1</w:t>
            </w:r>
          </w:p>
        </w:tc>
        <w:tc>
          <w:tcPr>
            <w:tcW w:w="1568" w:type="dxa"/>
          </w:tcPr>
          <w:p w14:paraId="225D4155" w14:textId="78902C1D" w:rsidR="003930CC" w:rsidRPr="00C108E5" w:rsidRDefault="003930CC" w:rsidP="002762D4">
            <w:pPr>
              <w:rPr>
                <w:rFonts w:ascii="Helvetica" w:hAnsi="Helvetica"/>
                <w:sz w:val="20"/>
                <w:szCs w:val="20"/>
              </w:rPr>
            </w:pPr>
            <w:r>
              <w:rPr>
                <w:rFonts w:ascii="Helvetica" w:hAnsi="Helvetica"/>
                <w:sz w:val="20"/>
                <w:szCs w:val="20"/>
              </w:rPr>
              <w:t>10</w:t>
            </w:r>
          </w:p>
        </w:tc>
        <w:tc>
          <w:tcPr>
            <w:tcW w:w="885" w:type="dxa"/>
          </w:tcPr>
          <w:p w14:paraId="0EDF3A35" w14:textId="2ABCF419" w:rsidR="003930CC" w:rsidRPr="00C108E5" w:rsidRDefault="003930CC" w:rsidP="002762D4">
            <w:pPr>
              <w:rPr>
                <w:rFonts w:ascii="Helvetica" w:hAnsi="Helvetica"/>
                <w:sz w:val="20"/>
                <w:szCs w:val="20"/>
              </w:rPr>
            </w:pPr>
            <w:r>
              <w:rPr>
                <w:rFonts w:ascii="Helvetica" w:hAnsi="Helvetica"/>
                <w:sz w:val="20"/>
                <w:szCs w:val="20"/>
              </w:rPr>
              <w:t>0.73</w:t>
            </w:r>
          </w:p>
        </w:tc>
        <w:tc>
          <w:tcPr>
            <w:tcW w:w="1285" w:type="dxa"/>
          </w:tcPr>
          <w:p w14:paraId="24C8ADE4" w14:textId="71586EF4" w:rsidR="003930CC" w:rsidRPr="00C108E5" w:rsidRDefault="003930CC" w:rsidP="002762D4">
            <w:pPr>
              <w:rPr>
                <w:rFonts w:ascii="Helvetica" w:hAnsi="Helvetica"/>
                <w:sz w:val="20"/>
                <w:szCs w:val="20"/>
              </w:rPr>
            </w:pPr>
            <w:r>
              <w:rPr>
                <w:rFonts w:ascii="Helvetica" w:hAnsi="Helvetica"/>
                <w:sz w:val="20"/>
                <w:szCs w:val="20"/>
              </w:rPr>
              <w:t>0.85 – 1.1</w:t>
            </w:r>
          </w:p>
        </w:tc>
      </w:tr>
    </w:tbl>
    <w:p w14:paraId="6836D706" w14:textId="77777777" w:rsidR="002762D4" w:rsidRDefault="002762D4" w:rsidP="003647DA">
      <w:pPr>
        <w:ind w:firstLine="720"/>
        <w:rPr>
          <w:rFonts w:ascii="Helvetica" w:hAnsi="Helvetica"/>
        </w:rPr>
      </w:pPr>
    </w:p>
    <w:p w14:paraId="055C5B73" w14:textId="5EF68CA8" w:rsidR="00F8713C" w:rsidRDefault="00F8713C" w:rsidP="003647DA">
      <w:pPr>
        <w:ind w:firstLine="720"/>
        <w:rPr>
          <w:rFonts w:ascii="Helvetica" w:hAnsi="Helvetica"/>
        </w:rPr>
      </w:pPr>
      <w:r>
        <w:rPr>
          <w:rFonts w:ascii="Helvetica" w:hAnsi="Helvetica"/>
        </w:rPr>
        <w:t>Presumably, operation at lower I</w:t>
      </w:r>
      <w:r w:rsidRPr="00F8713C">
        <w:rPr>
          <w:rFonts w:ascii="Helvetica" w:hAnsi="Helvetica"/>
          <w:vertAlign w:val="subscript"/>
        </w:rPr>
        <w:t>p</w:t>
      </w:r>
      <w:r>
        <w:rPr>
          <w:rFonts w:ascii="Helvetica" w:hAnsi="Helvetica"/>
        </w:rPr>
        <w:t xml:space="preserve"> will not place a large constraint on the first wall surfaces in a DN shape.</w:t>
      </w:r>
    </w:p>
    <w:p w14:paraId="02467778" w14:textId="77777777" w:rsidR="007074FE" w:rsidRDefault="007074FE" w:rsidP="003647DA">
      <w:pPr>
        <w:ind w:firstLine="720"/>
        <w:rPr>
          <w:rFonts w:ascii="Helvetica" w:hAnsi="Helvetica"/>
        </w:rPr>
      </w:pPr>
    </w:p>
    <w:p w14:paraId="1D4BAF0B" w14:textId="5013432F" w:rsidR="007074FE" w:rsidRPr="004B40EF" w:rsidRDefault="007074FE" w:rsidP="007074FE">
      <w:pPr>
        <w:rPr>
          <w:rFonts w:ascii="Helvetica" w:hAnsi="Helvetica"/>
          <w:b/>
          <w:u w:val="single"/>
        </w:rPr>
      </w:pPr>
      <w:r w:rsidRPr="004B40EF">
        <w:rPr>
          <w:rFonts w:ascii="Helvetica" w:hAnsi="Helvetica"/>
          <w:b/>
          <w:u w:val="single"/>
        </w:rPr>
        <w:t>ASC-2: Axisymmetric Control</w:t>
      </w:r>
    </w:p>
    <w:p w14:paraId="6461E69F" w14:textId="77777777" w:rsidR="007074FE" w:rsidRDefault="007074FE" w:rsidP="007074FE">
      <w:pPr>
        <w:rPr>
          <w:rFonts w:ascii="Helvetica" w:hAnsi="Helvetica"/>
        </w:rPr>
      </w:pPr>
    </w:p>
    <w:p w14:paraId="0E052FB4" w14:textId="78F5BE23" w:rsidR="007074FE" w:rsidRDefault="00BF0901" w:rsidP="005C5791">
      <w:pPr>
        <w:ind w:firstLine="720"/>
        <w:rPr>
          <w:rFonts w:ascii="Helvetica" w:hAnsi="Helvetica"/>
        </w:rPr>
      </w:pPr>
      <w:r>
        <w:rPr>
          <w:rFonts w:ascii="Helvetica" w:hAnsi="Helvetica"/>
        </w:rPr>
        <w:t>This research thrust</w:t>
      </w:r>
      <w:r w:rsidR="005C5791">
        <w:rPr>
          <w:rFonts w:ascii="Helvetica" w:hAnsi="Helvetica"/>
        </w:rPr>
        <w:t xml:space="preserve"> aims to develop the active feedback control solutions that enable the scientific program on NSTX-U and </w:t>
      </w:r>
      <w:r w:rsidR="00AE687A">
        <w:rPr>
          <w:rFonts w:ascii="Helvetica" w:hAnsi="Helvetica"/>
        </w:rPr>
        <w:t xml:space="preserve">the </w:t>
      </w:r>
      <w:r w:rsidR="00544A19">
        <w:rPr>
          <w:rFonts w:ascii="Helvetica" w:hAnsi="Helvetica"/>
        </w:rPr>
        <w:t>requirements</w:t>
      </w:r>
      <w:r w:rsidR="00AE687A">
        <w:rPr>
          <w:rFonts w:ascii="Helvetica" w:hAnsi="Helvetica"/>
        </w:rPr>
        <w:t xml:space="preserve"> of </w:t>
      </w:r>
      <w:r w:rsidR="005C5791">
        <w:rPr>
          <w:rFonts w:ascii="Helvetica" w:hAnsi="Helvetica"/>
        </w:rPr>
        <w:t xml:space="preserve">future burning plasma </w:t>
      </w:r>
      <w:r w:rsidR="00AE687A">
        <w:rPr>
          <w:rFonts w:ascii="Helvetica" w:hAnsi="Helvetica"/>
        </w:rPr>
        <w:t>devices.</w:t>
      </w:r>
      <w:r>
        <w:rPr>
          <w:rFonts w:ascii="Helvetica" w:hAnsi="Helvetica"/>
        </w:rPr>
        <w:t xml:space="preserve"> Many of the research topics within the thrust do not place strict requirements on the shape, heating or pulse length required to develop and test the feedback control.  The following discussions focus on the control topics that could be impacted by the proposed changes to the polar region.</w:t>
      </w:r>
    </w:p>
    <w:p w14:paraId="33E0D03D" w14:textId="77777777" w:rsidR="009E101F" w:rsidRDefault="009E101F" w:rsidP="005C5791">
      <w:pPr>
        <w:ind w:firstLine="720"/>
        <w:rPr>
          <w:rFonts w:ascii="Helvetica" w:hAnsi="Helvetica"/>
        </w:rPr>
      </w:pPr>
    </w:p>
    <w:p w14:paraId="52A17F63" w14:textId="0F9068C2" w:rsidR="009E101F" w:rsidRPr="009E101F" w:rsidRDefault="0052054F" w:rsidP="009E101F">
      <w:pPr>
        <w:rPr>
          <w:rFonts w:ascii="Helvetica" w:hAnsi="Helvetica"/>
          <w:u w:val="single"/>
        </w:rPr>
      </w:pPr>
      <w:r>
        <w:rPr>
          <w:rFonts w:ascii="Helvetica" w:hAnsi="Helvetica"/>
          <w:u w:val="single"/>
        </w:rPr>
        <w:t>2.1 Snowflake</w:t>
      </w:r>
      <w:r w:rsidR="009E101F" w:rsidRPr="009E101F">
        <w:rPr>
          <w:rFonts w:ascii="Helvetica" w:hAnsi="Helvetica"/>
          <w:u w:val="single"/>
        </w:rPr>
        <w:t xml:space="preserve"> </w:t>
      </w:r>
      <w:r w:rsidR="008F3EC0">
        <w:rPr>
          <w:rFonts w:ascii="Helvetica" w:hAnsi="Helvetica"/>
          <w:u w:val="single"/>
        </w:rPr>
        <w:t xml:space="preserve">and X-divertor </w:t>
      </w:r>
      <w:r w:rsidR="009E101F" w:rsidRPr="009E101F">
        <w:rPr>
          <w:rFonts w:ascii="Helvetica" w:hAnsi="Helvetica"/>
          <w:u w:val="single"/>
        </w:rPr>
        <w:t>control</w:t>
      </w:r>
    </w:p>
    <w:p w14:paraId="6EE06231" w14:textId="77777777" w:rsidR="009E101F" w:rsidRDefault="009E101F" w:rsidP="009E101F">
      <w:pPr>
        <w:rPr>
          <w:rFonts w:ascii="Helvetica" w:hAnsi="Helvetica"/>
        </w:rPr>
      </w:pPr>
    </w:p>
    <w:p w14:paraId="49D72FD1" w14:textId="240540F6" w:rsidR="009E101F" w:rsidRDefault="009E101F" w:rsidP="009E101F">
      <w:pPr>
        <w:rPr>
          <w:rFonts w:ascii="Helvetica" w:hAnsi="Helvetica"/>
        </w:rPr>
      </w:pPr>
      <w:r>
        <w:rPr>
          <w:rFonts w:ascii="Helvetica" w:hAnsi="Helvetica"/>
        </w:rPr>
        <w:tab/>
      </w:r>
      <w:r w:rsidR="0052054F">
        <w:rPr>
          <w:rFonts w:ascii="Helvetica" w:hAnsi="Helvetica"/>
        </w:rPr>
        <w:t xml:space="preserve">Fish scaling of the divertor tiles will most likely limit the range of snowflake </w:t>
      </w:r>
      <w:r w:rsidR="000C6753">
        <w:rPr>
          <w:rFonts w:ascii="Helvetica" w:hAnsi="Helvetica"/>
        </w:rPr>
        <w:t>divertor configurations</w:t>
      </w:r>
      <w:r w:rsidR="0026620E">
        <w:rPr>
          <w:rFonts w:ascii="Helvetica" w:hAnsi="Helvetica"/>
        </w:rPr>
        <w:t xml:space="preserve"> that are permitted due to the introduction of reversed helicity field lines at the divertor </w:t>
      </w:r>
      <w:r w:rsidR="007969D4">
        <w:rPr>
          <w:rFonts w:ascii="Helvetica" w:hAnsi="Helvetica"/>
        </w:rPr>
        <w:t>surfaces</w:t>
      </w:r>
      <w:r w:rsidR="0026620E">
        <w:rPr>
          <w:rFonts w:ascii="Helvetica" w:hAnsi="Helvetica"/>
        </w:rPr>
        <w:t>.</w:t>
      </w:r>
      <w:r w:rsidR="0052054F">
        <w:rPr>
          <w:rFonts w:ascii="Helvetica" w:hAnsi="Helvetica"/>
        </w:rPr>
        <w:t xml:space="preserve"> The impact </w:t>
      </w:r>
      <w:r w:rsidR="0026620E">
        <w:rPr>
          <w:rFonts w:ascii="Helvetica" w:hAnsi="Helvetica"/>
        </w:rPr>
        <w:t xml:space="preserve">this </w:t>
      </w:r>
      <w:r w:rsidR="00525CFB">
        <w:rPr>
          <w:rFonts w:ascii="Helvetica" w:hAnsi="Helvetica"/>
        </w:rPr>
        <w:t>limitation has</w:t>
      </w:r>
      <w:r w:rsidR="0026620E">
        <w:rPr>
          <w:rFonts w:ascii="Helvetica" w:hAnsi="Helvetica"/>
        </w:rPr>
        <w:t xml:space="preserve"> </w:t>
      </w:r>
      <w:r w:rsidR="0052054F">
        <w:rPr>
          <w:rFonts w:ascii="Helvetica" w:hAnsi="Helvetica"/>
        </w:rPr>
        <w:t xml:space="preserve">on </w:t>
      </w:r>
      <w:r w:rsidR="00525CFB">
        <w:rPr>
          <w:rFonts w:ascii="Helvetica" w:hAnsi="Helvetica"/>
        </w:rPr>
        <w:t>experiments aimed at advancing</w:t>
      </w:r>
      <w:r w:rsidR="0026620E">
        <w:rPr>
          <w:rFonts w:ascii="Helvetica" w:hAnsi="Helvetica"/>
        </w:rPr>
        <w:t xml:space="preserve"> </w:t>
      </w:r>
      <w:r w:rsidR="0052054F">
        <w:rPr>
          <w:rFonts w:ascii="Helvetica" w:hAnsi="Helvetica"/>
        </w:rPr>
        <w:t>the physics of the snowflake will be discussed in the DivSOL memo; this discussion focuses on the impact to developing snowflake control.</w:t>
      </w:r>
    </w:p>
    <w:p w14:paraId="59D37E54" w14:textId="77777777" w:rsidR="0052054F" w:rsidRDefault="0052054F" w:rsidP="009E101F">
      <w:pPr>
        <w:rPr>
          <w:rFonts w:ascii="Helvetica" w:hAnsi="Helvetica"/>
        </w:rPr>
      </w:pPr>
    </w:p>
    <w:p w14:paraId="21A24591" w14:textId="4B528D3E" w:rsidR="0052054F" w:rsidRDefault="0052054F" w:rsidP="009E101F">
      <w:pPr>
        <w:rPr>
          <w:rFonts w:ascii="Helvetica" w:hAnsi="Helvetica"/>
        </w:rPr>
      </w:pPr>
      <w:r>
        <w:rPr>
          <w:rFonts w:ascii="Helvetica" w:hAnsi="Helvetica"/>
        </w:rPr>
        <w:tab/>
        <w:t xml:space="preserve">The most significant concern </w:t>
      </w:r>
      <w:r w:rsidR="000C6753">
        <w:rPr>
          <w:rFonts w:ascii="Helvetica" w:hAnsi="Helvetica"/>
        </w:rPr>
        <w:t>from this TSG is that commissioning of the snowflake controller must be allowed a margin for error when first under development. This concern is reduced if there is active protection of the tile heat flux, which requires separate development.  The snowflake controller is ready to test once reproducible H-mode scenarios are</w:t>
      </w:r>
      <w:r w:rsidR="00114D43">
        <w:rPr>
          <w:rFonts w:ascii="Helvetica" w:hAnsi="Helvetica"/>
        </w:rPr>
        <w:t xml:space="preserve"> demonstrated</w:t>
      </w:r>
      <w:r w:rsidR="000C6753">
        <w:rPr>
          <w:rFonts w:ascii="Helvetica" w:hAnsi="Helvetica"/>
        </w:rPr>
        <w:t>.  Thus, if NSTX-U comes back on-line without fish-scaled tiles, the controller commissioning co</w:t>
      </w:r>
      <w:r w:rsidR="004104E3">
        <w:rPr>
          <w:rFonts w:ascii="Helvetica" w:hAnsi="Helvetica"/>
        </w:rPr>
        <w:t>uld begin</w:t>
      </w:r>
      <w:r w:rsidR="0098449E">
        <w:rPr>
          <w:rFonts w:ascii="Helvetica" w:hAnsi="Helvetica"/>
        </w:rPr>
        <w:t xml:space="preserve"> in the first campaign prior to commissioning a</w:t>
      </w:r>
      <w:r w:rsidR="004104E3">
        <w:rPr>
          <w:rFonts w:ascii="Helvetica" w:hAnsi="Helvetica"/>
        </w:rPr>
        <w:t xml:space="preserve"> first wall protection system.</w:t>
      </w:r>
      <w:r w:rsidR="00114D43">
        <w:rPr>
          <w:rFonts w:ascii="Helvetica" w:hAnsi="Helvetica"/>
        </w:rPr>
        <w:t xml:space="preserve">  Conversely, if NSTX-U </w:t>
      </w:r>
      <w:r w:rsidR="0098449E">
        <w:rPr>
          <w:rFonts w:ascii="Helvetica" w:hAnsi="Helvetica"/>
        </w:rPr>
        <w:t>resumes</w:t>
      </w:r>
      <w:r w:rsidR="00114D43">
        <w:rPr>
          <w:rFonts w:ascii="Helvetica" w:hAnsi="Helvetica"/>
        </w:rPr>
        <w:t xml:space="preserve"> operation with fish-scaled tiles, the testing of the controller in conditions relevant for scientific experiments may require waiting for the tile protection system.</w:t>
      </w:r>
    </w:p>
    <w:p w14:paraId="57D31DCC" w14:textId="77777777" w:rsidR="00114D43" w:rsidRDefault="00114D43" w:rsidP="009E101F">
      <w:pPr>
        <w:rPr>
          <w:rFonts w:ascii="Helvetica" w:hAnsi="Helvetica"/>
        </w:rPr>
      </w:pPr>
    </w:p>
    <w:p w14:paraId="592AF3D3" w14:textId="42306955" w:rsidR="00114D43" w:rsidRDefault="00114D43" w:rsidP="009E101F">
      <w:pPr>
        <w:rPr>
          <w:rFonts w:ascii="Helvetica" w:hAnsi="Helvetica"/>
        </w:rPr>
      </w:pPr>
      <w:r>
        <w:rPr>
          <w:rFonts w:ascii="Helvetica" w:hAnsi="Helvetica"/>
        </w:rPr>
        <w:tab/>
        <w:t>The ASC members were in agreement that significant development and testing of the snowflake control</w:t>
      </w:r>
      <w:r w:rsidR="0098449E">
        <w:rPr>
          <w:rFonts w:ascii="Helvetica" w:hAnsi="Helvetica"/>
        </w:rPr>
        <w:t>ler</w:t>
      </w:r>
      <w:r>
        <w:rPr>
          <w:rFonts w:ascii="Helvetica" w:hAnsi="Helvetica"/>
        </w:rPr>
        <w:t xml:space="preserve"> is needed, especially if </w:t>
      </w:r>
      <w:r w:rsidR="00A168C4">
        <w:rPr>
          <w:rFonts w:ascii="Helvetica" w:hAnsi="Helvetica"/>
        </w:rPr>
        <w:t>tight</w:t>
      </w:r>
      <w:r>
        <w:rPr>
          <w:rFonts w:ascii="Helvetica" w:hAnsi="Helvetica"/>
        </w:rPr>
        <w:t xml:space="preserve"> </w:t>
      </w:r>
      <w:r w:rsidR="00A168C4">
        <w:rPr>
          <w:rFonts w:ascii="Helvetica" w:hAnsi="Helvetica"/>
        </w:rPr>
        <w:t>tolerance on the strike point locations across a wide range of scenarios is</w:t>
      </w:r>
      <w:r>
        <w:rPr>
          <w:rFonts w:ascii="Helvetica" w:hAnsi="Helvetica"/>
        </w:rPr>
        <w:t xml:space="preserve"> required for safe operation of NSTX-U.</w:t>
      </w:r>
      <w:r w:rsidR="004D3BBB">
        <w:rPr>
          <w:rFonts w:ascii="Helvetica" w:hAnsi="Helvetica"/>
        </w:rPr>
        <w:t xml:space="preserve"> Modeling efforts are </w:t>
      </w:r>
      <w:r w:rsidR="00625032">
        <w:rPr>
          <w:rFonts w:ascii="Helvetica" w:hAnsi="Helvetica"/>
        </w:rPr>
        <w:t>planned</w:t>
      </w:r>
      <w:r w:rsidR="004D3BBB">
        <w:rPr>
          <w:rFonts w:ascii="Helvetica" w:hAnsi="Helvetica"/>
        </w:rPr>
        <w:t xml:space="preserve"> to increase the efficiency of experimental time required to commission the controller.</w:t>
      </w:r>
    </w:p>
    <w:p w14:paraId="320FA542" w14:textId="77777777" w:rsidR="008F3EC0" w:rsidRDefault="008F3EC0" w:rsidP="009E101F">
      <w:pPr>
        <w:rPr>
          <w:rFonts w:ascii="Helvetica" w:hAnsi="Helvetica"/>
        </w:rPr>
      </w:pPr>
    </w:p>
    <w:p w14:paraId="1D439318" w14:textId="2205ADC7" w:rsidR="008F3EC0" w:rsidRDefault="008F3EC0" w:rsidP="009E101F">
      <w:pPr>
        <w:rPr>
          <w:rFonts w:ascii="Helvetica" w:hAnsi="Helvetica"/>
        </w:rPr>
      </w:pPr>
      <w:r>
        <w:rPr>
          <w:rFonts w:ascii="Helvetica" w:hAnsi="Helvetica"/>
        </w:rPr>
        <w:tab/>
        <w:t xml:space="preserve">The X-divertor configuration shares similarities with the snowflake configuration whereby a second X-point in the SOL increases the flux expansion </w:t>
      </w:r>
      <w:r>
        <w:rPr>
          <w:rFonts w:ascii="Helvetica" w:hAnsi="Helvetica"/>
        </w:rPr>
        <w:lastRenderedPageBreak/>
        <w:t xml:space="preserve">at the divertor target.  Experiments directed at classifying the X-divertor would want to vary the distance between the two X-points (exploring a presumed transition from snowflake to X-divertor) by varying the primary X-point height. Provided the secondary X-point is </w:t>
      </w:r>
      <w:r w:rsidR="00032943">
        <w:rPr>
          <w:rFonts w:ascii="Helvetica" w:hAnsi="Helvetica"/>
        </w:rPr>
        <w:t>not within the vacuum vessel, this configuration does not introduce reversed helicity issues.  Again, development and testing the controller requires some margin for error and thus depends on the sequence of altering the tiles and introducing tile protection.</w:t>
      </w:r>
    </w:p>
    <w:p w14:paraId="73D724F6" w14:textId="77777777" w:rsidR="004D3BBB" w:rsidRDefault="004D3BBB" w:rsidP="009E101F">
      <w:pPr>
        <w:rPr>
          <w:rFonts w:ascii="Helvetica" w:hAnsi="Helvetica"/>
        </w:rPr>
      </w:pPr>
    </w:p>
    <w:p w14:paraId="1FB1FA1D" w14:textId="493009EA" w:rsidR="004D3BBB" w:rsidRDefault="004D3BBB" w:rsidP="009E101F">
      <w:pPr>
        <w:rPr>
          <w:rFonts w:ascii="Helvetica" w:hAnsi="Helvetica"/>
          <w:u w:val="single"/>
        </w:rPr>
      </w:pPr>
      <w:r w:rsidRPr="004D3BBB">
        <w:rPr>
          <w:rFonts w:ascii="Helvetica" w:hAnsi="Helvetica"/>
          <w:u w:val="single"/>
        </w:rPr>
        <w:t>2.2 Integration of tile protection into active control</w:t>
      </w:r>
    </w:p>
    <w:p w14:paraId="52F92475" w14:textId="77777777" w:rsidR="004D3BBB" w:rsidRDefault="004D3BBB" w:rsidP="009E101F">
      <w:pPr>
        <w:rPr>
          <w:rFonts w:ascii="Helvetica" w:hAnsi="Helvetica"/>
        </w:rPr>
      </w:pPr>
    </w:p>
    <w:p w14:paraId="3AF87D29" w14:textId="158C53D9" w:rsidR="004D3BBB" w:rsidRDefault="004D3BBB" w:rsidP="009E101F">
      <w:pPr>
        <w:rPr>
          <w:rFonts w:ascii="Helvetica" w:hAnsi="Helvetica"/>
        </w:rPr>
      </w:pPr>
      <w:r>
        <w:rPr>
          <w:rFonts w:ascii="Helvetica" w:hAnsi="Helvetica"/>
        </w:rPr>
        <w:tab/>
      </w:r>
      <w:r w:rsidR="000577F3">
        <w:rPr>
          <w:rFonts w:ascii="Helvetica" w:hAnsi="Helvetica"/>
        </w:rPr>
        <w:t>The</w:t>
      </w:r>
      <w:r>
        <w:rPr>
          <w:rFonts w:ascii="Helvetica" w:hAnsi="Helvetica"/>
        </w:rPr>
        <w:t xml:space="preserve"> </w:t>
      </w:r>
      <w:r w:rsidR="000577F3">
        <w:rPr>
          <w:rFonts w:ascii="Helvetica" w:hAnsi="Helvetica"/>
        </w:rPr>
        <w:t>NSTX-U control</w:t>
      </w:r>
      <w:r>
        <w:rPr>
          <w:rFonts w:ascii="Helvetica" w:hAnsi="Helvetica"/>
        </w:rPr>
        <w:t xml:space="preserve"> group </w:t>
      </w:r>
      <w:r w:rsidR="000577F3">
        <w:rPr>
          <w:rFonts w:ascii="Helvetica" w:hAnsi="Helvetica"/>
        </w:rPr>
        <w:t>plans</w:t>
      </w:r>
      <w:r>
        <w:rPr>
          <w:rFonts w:ascii="Helvetica" w:hAnsi="Helvetica"/>
        </w:rPr>
        <w:t xml:space="preserve"> to incorporate the DCPS logic into the PCS in order to develop algorithms that avoid the DCPS limits, or at least initiate a soft shutdown </w:t>
      </w:r>
      <w:r w:rsidR="000577F3">
        <w:rPr>
          <w:rFonts w:ascii="Helvetica" w:hAnsi="Helvetica"/>
        </w:rPr>
        <w:t>if</w:t>
      </w:r>
      <w:r>
        <w:rPr>
          <w:rFonts w:ascii="Helvetica" w:hAnsi="Helvetica"/>
        </w:rPr>
        <w:t xml:space="preserve"> the limits are approache</w:t>
      </w:r>
      <w:r w:rsidR="00732A5B">
        <w:rPr>
          <w:rFonts w:ascii="Helvetica" w:hAnsi="Helvetica"/>
        </w:rPr>
        <w:t>d.  In our discussion, the ASC group felt similar efforts could be undertaken to incorporate any tile protection logic into the PCS to avoid a hard shutdown from a protection system.  The PCS could use the divertor configuration or NBI heating as potential actuators for avoiding the tile heating limits.</w:t>
      </w:r>
    </w:p>
    <w:p w14:paraId="3E464359" w14:textId="77777777" w:rsidR="002474D7" w:rsidRDefault="002474D7" w:rsidP="009E101F">
      <w:pPr>
        <w:rPr>
          <w:rFonts w:ascii="Helvetica" w:hAnsi="Helvetica"/>
        </w:rPr>
      </w:pPr>
    </w:p>
    <w:p w14:paraId="2892703F" w14:textId="445597E1" w:rsidR="002474D7" w:rsidRPr="00135ABE" w:rsidRDefault="002474D7" w:rsidP="009E101F">
      <w:pPr>
        <w:rPr>
          <w:rFonts w:ascii="Helvetica" w:hAnsi="Helvetica"/>
          <w:u w:val="single"/>
        </w:rPr>
      </w:pPr>
      <w:r w:rsidRPr="00135ABE">
        <w:rPr>
          <w:rFonts w:ascii="Helvetica" w:hAnsi="Helvetica"/>
          <w:u w:val="single"/>
        </w:rPr>
        <w:t>2.3 Active control of the current profile</w:t>
      </w:r>
    </w:p>
    <w:p w14:paraId="14E8DC3C" w14:textId="77777777" w:rsidR="002474D7" w:rsidRDefault="002474D7" w:rsidP="009E101F">
      <w:pPr>
        <w:rPr>
          <w:rFonts w:ascii="Helvetica" w:hAnsi="Helvetica"/>
        </w:rPr>
      </w:pPr>
    </w:p>
    <w:p w14:paraId="22B0616A" w14:textId="585DF8EB" w:rsidR="002474D7" w:rsidRDefault="002474D7" w:rsidP="009E101F">
      <w:pPr>
        <w:rPr>
          <w:rFonts w:ascii="Helvetica" w:hAnsi="Helvetica"/>
        </w:rPr>
      </w:pPr>
      <w:r>
        <w:rPr>
          <w:rFonts w:ascii="Helvetica" w:hAnsi="Helvetica"/>
        </w:rPr>
        <w:tab/>
        <w:t xml:space="preserve">ASC aims to develop active control of the current profile using neutral beams and outer gap position as actuators.  </w:t>
      </w:r>
      <w:r w:rsidR="00135ABE">
        <w:rPr>
          <w:rFonts w:ascii="Helvetica" w:hAnsi="Helvetica"/>
        </w:rPr>
        <w:t>Initial</w:t>
      </w:r>
      <w:r>
        <w:rPr>
          <w:rFonts w:ascii="Helvetica" w:hAnsi="Helvetica"/>
        </w:rPr>
        <w:t xml:space="preserve"> experiments will want to access low-density operation where the beam current drive fraction is largest. The pulse lengths would need to be long enough that control is d</w:t>
      </w:r>
      <w:r w:rsidR="00135ABE">
        <w:rPr>
          <w:rFonts w:ascii="Helvetica" w:hAnsi="Helvetica"/>
        </w:rPr>
        <w:t xml:space="preserve">emonstrated </w:t>
      </w:r>
      <w:r>
        <w:rPr>
          <w:rFonts w:ascii="Helvetica" w:hAnsi="Helvetica"/>
        </w:rPr>
        <w:t>over several current redistribution times</w:t>
      </w:r>
      <w:r w:rsidR="00135ABE">
        <w:rPr>
          <w:rFonts w:ascii="Helvetica" w:hAnsi="Helvetica"/>
        </w:rPr>
        <w:t>. This would favor lower temperature regimes where the plasma is more resistive.  Thus, it is expected that these desired regimes will not require conditions that challenge the first wall surfaces.</w:t>
      </w:r>
    </w:p>
    <w:p w14:paraId="0A799ADC" w14:textId="77777777" w:rsidR="001C6979" w:rsidRDefault="001C6979" w:rsidP="009E101F">
      <w:pPr>
        <w:rPr>
          <w:rFonts w:ascii="Helvetica" w:hAnsi="Helvetica"/>
        </w:rPr>
      </w:pPr>
    </w:p>
    <w:p w14:paraId="76369BBF" w14:textId="6BF7565D" w:rsidR="001C6979" w:rsidRPr="001C6979" w:rsidRDefault="001C6979" w:rsidP="009E101F">
      <w:pPr>
        <w:rPr>
          <w:rFonts w:ascii="Helvetica" w:hAnsi="Helvetica"/>
          <w:u w:val="single"/>
        </w:rPr>
      </w:pPr>
      <w:r w:rsidRPr="001C6979">
        <w:rPr>
          <w:rFonts w:ascii="Helvetica" w:hAnsi="Helvetica"/>
          <w:u w:val="single"/>
        </w:rPr>
        <w:t>2.4 Active density control</w:t>
      </w:r>
    </w:p>
    <w:p w14:paraId="2801E693" w14:textId="77777777" w:rsidR="001C6979" w:rsidRDefault="001C6979" w:rsidP="009E101F">
      <w:pPr>
        <w:rPr>
          <w:rFonts w:ascii="Helvetica" w:hAnsi="Helvetica"/>
        </w:rPr>
      </w:pPr>
    </w:p>
    <w:p w14:paraId="0AB91A23" w14:textId="3F7A94B1" w:rsidR="001C6979" w:rsidRDefault="001C6979" w:rsidP="009E101F">
      <w:pPr>
        <w:rPr>
          <w:rFonts w:ascii="Helvetica" w:hAnsi="Helvetica"/>
        </w:rPr>
      </w:pPr>
      <w:r>
        <w:rPr>
          <w:rFonts w:ascii="Helvetica" w:hAnsi="Helvetica"/>
        </w:rPr>
        <w:tab/>
        <w:t>One concern raised in ASC discussions was that the requirement to have good pumping with a future cyro pump may place a limitation on the strike-point sweeps.</w:t>
      </w:r>
    </w:p>
    <w:p w14:paraId="5CA712FB" w14:textId="77777777" w:rsidR="001C6979" w:rsidRDefault="001C6979" w:rsidP="009E101F">
      <w:pPr>
        <w:rPr>
          <w:rFonts w:ascii="Helvetica" w:hAnsi="Helvetica"/>
        </w:rPr>
      </w:pPr>
    </w:p>
    <w:p w14:paraId="66891313" w14:textId="516E36E9" w:rsidR="004B40EF" w:rsidRPr="004B40EF" w:rsidRDefault="004B40EF" w:rsidP="004B40EF">
      <w:pPr>
        <w:rPr>
          <w:rFonts w:ascii="Helvetica" w:hAnsi="Helvetica"/>
          <w:b/>
          <w:u w:val="single"/>
        </w:rPr>
      </w:pPr>
      <w:r>
        <w:rPr>
          <w:rFonts w:ascii="Helvetica" w:hAnsi="Helvetica"/>
          <w:b/>
          <w:u w:val="single"/>
        </w:rPr>
        <w:t>ASC-3</w:t>
      </w:r>
      <w:r w:rsidRPr="004B40EF">
        <w:rPr>
          <w:rFonts w:ascii="Helvetica" w:hAnsi="Helvetica"/>
          <w:b/>
          <w:u w:val="single"/>
        </w:rPr>
        <w:t xml:space="preserve">: </w:t>
      </w:r>
      <w:r>
        <w:rPr>
          <w:rFonts w:ascii="Helvetica" w:hAnsi="Helvetica"/>
          <w:b/>
          <w:u w:val="single"/>
        </w:rPr>
        <w:t>Disruption avoidance by controlled discharge shutdown</w:t>
      </w:r>
    </w:p>
    <w:p w14:paraId="0176D2D8" w14:textId="683C25F5" w:rsidR="001C6979" w:rsidRDefault="001C6979" w:rsidP="009E101F">
      <w:pPr>
        <w:rPr>
          <w:rFonts w:ascii="Helvetica" w:hAnsi="Helvetica"/>
        </w:rPr>
      </w:pPr>
    </w:p>
    <w:p w14:paraId="0236FA8B" w14:textId="6C63B753" w:rsidR="004B40EF" w:rsidRDefault="004B40EF" w:rsidP="004B40EF">
      <w:pPr>
        <w:ind w:firstLine="720"/>
        <w:rPr>
          <w:rFonts w:ascii="Helvetica" w:hAnsi="Helvetica" w:cs="Arial"/>
          <w:color w:val="000000"/>
        </w:rPr>
      </w:pPr>
      <w:r w:rsidRPr="004B40EF">
        <w:rPr>
          <w:rFonts w:ascii="Helvetica" w:hAnsi="Helvetica" w:cs="Arial"/>
          <w:color w:val="000000"/>
        </w:rPr>
        <w:t xml:space="preserve">This research does not place any requirements on the ramp up and flattop discharge.  However, it is likely that controlled shutdown will act to reduce the plasma elongation quickly, potentially moving the strike-point locations to transient positions prior to becoming centerstack limited.  ASC members agreed </w:t>
      </w:r>
      <w:r>
        <w:rPr>
          <w:rFonts w:ascii="Helvetica" w:hAnsi="Helvetica" w:cs="Arial"/>
          <w:color w:val="000000"/>
        </w:rPr>
        <w:t xml:space="preserve">that more work is needed to map out the </w:t>
      </w:r>
      <w:r w:rsidRPr="004B40EF">
        <w:rPr>
          <w:rFonts w:ascii="Helvetica" w:hAnsi="Helvetica" w:cs="Arial"/>
          <w:color w:val="000000"/>
        </w:rPr>
        <w:t xml:space="preserve">sequence of a shutdown </w:t>
      </w:r>
      <w:r>
        <w:rPr>
          <w:rFonts w:ascii="Helvetica" w:hAnsi="Helvetica" w:cs="Arial"/>
          <w:color w:val="000000"/>
        </w:rPr>
        <w:t>with the consideration of tile heating limits. Similar to ASC-2, some margin for error is required while developing the controller and the development timeline depends on when fish-scaled tiles and active tile protection are implemented.</w:t>
      </w:r>
    </w:p>
    <w:p w14:paraId="4ACE3A6D" w14:textId="77777777" w:rsidR="004B40EF" w:rsidRDefault="004B40EF" w:rsidP="004B40EF">
      <w:pPr>
        <w:ind w:firstLine="720"/>
        <w:rPr>
          <w:rFonts w:ascii="Helvetica" w:hAnsi="Helvetica" w:cs="Arial"/>
          <w:color w:val="000000"/>
        </w:rPr>
      </w:pPr>
    </w:p>
    <w:p w14:paraId="56D86023" w14:textId="42FA2BB8" w:rsidR="004B40EF" w:rsidRDefault="004B40EF" w:rsidP="004B40EF">
      <w:pPr>
        <w:rPr>
          <w:rFonts w:ascii="Helvetica" w:hAnsi="Helvetica"/>
        </w:rPr>
      </w:pPr>
      <w:r>
        <w:rPr>
          <w:rFonts w:ascii="Helvetica" w:hAnsi="Helvetica"/>
          <w:b/>
          <w:u w:val="single"/>
        </w:rPr>
        <w:t>ASC-4</w:t>
      </w:r>
      <w:r w:rsidRPr="004B40EF">
        <w:rPr>
          <w:rFonts w:ascii="Helvetica" w:hAnsi="Helvetica"/>
          <w:b/>
          <w:u w:val="single"/>
        </w:rPr>
        <w:t xml:space="preserve">: </w:t>
      </w:r>
      <w:r>
        <w:rPr>
          <w:rFonts w:ascii="Helvetica" w:hAnsi="Helvetica"/>
          <w:b/>
          <w:u w:val="single"/>
        </w:rPr>
        <w:t>Scenario optimization for next-step devices</w:t>
      </w:r>
    </w:p>
    <w:p w14:paraId="126C14D4" w14:textId="77777777" w:rsidR="004B40EF" w:rsidRDefault="004B40EF" w:rsidP="004B40EF">
      <w:pPr>
        <w:rPr>
          <w:rFonts w:ascii="Helvetica" w:hAnsi="Helvetica"/>
        </w:rPr>
      </w:pPr>
    </w:p>
    <w:p w14:paraId="5767BA78" w14:textId="108F69D4" w:rsidR="004B40EF" w:rsidRPr="004B40EF" w:rsidRDefault="004B40EF" w:rsidP="004B40EF">
      <w:pPr>
        <w:rPr>
          <w:rFonts w:ascii="Helvetica" w:hAnsi="Helvetica"/>
        </w:rPr>
      </w:pPr>
      <w:r>
        <w:rPr>
          <w:rFonts w:ascii="Helvetica" w:hAnsi="Helvetica"/>
        </w:rPr>
        <w:tab/>
        <w:t>This research thrust encompasses topics that aim to push the boundaries of NSTX-U operations</w:t>
      </w:r>
      <w:r w:rsidR="008B26BC">
        <w:rPr>
          <w:rFonts w:ascii="Helvetica" w:hAnsi="Helvetica"/>
        </w:rPr>
        <w:t xml:space="preserve"> in terms of performance and scenario integration</w:t>
      </w:r>
      <w:r>
        <w:rPr>
          <w:rFonts w:ascii="Helvetica" w:hAnsi="Helvetica"/>
        </w:rPr>
        <w:t>.  In the view of ASC, the tile heating limits will inform the experiment</w:t>
      </w:r>
      <w:r w:rsidR="008B26BC">
        <w:rPr>
          <w:rFonts w:ascii="Helvetica" w:hAnsi="Helvetica"/>
        </w:rPr>
        <w:t>s within this thrust</w:t>
      </w:r>
      <w:r>
        <w:rPr>
          <w:rFonts w:ascii="Helvetica" w:hAnsi="Helvetica"/>
        </w:rPr>
        <w:t xml:space="preserve"> rather than the experiments restricting the tile design</w:t>
      </w:r>
      <w:r w:rsidR="008B26BC">
        <w:rPr>
          <w:rFonts w:ascii="Helvetica" w:hAnsi="Helvetica"/>
        </w:rPr>
        <w:t xml:space="preserve">. </w:t>
      </w:r>
    </w:p>
    <w:p w14:paraId="64A44136" w14:textId="77777777" w:rsidR="004B40EF" w:rsidRPr="004B40EF" w:rsidRDefault="004B40EF" w:rsidP="004B40EF">
      <w:pPr>
        <w:ind w:firstLine="720"/>
        <w:rPr>
          <w:rFonts w:ascii="Helvetica" w:eastAsia="Times New Roman" w:hAnsi="Helvetica" w:cs="Times New Roman"/>
        </w:rPr>
      </w:pPr>
    </w:p>
    <w:p w14:paraId="12365BA0" w14:textId="3AC236FA" w:rsidR="004B40EF" w:rsidRPr="004B40EF" w:rsidRDefault="004B40EF" w:rsidP="004B40EF">
      <w:pPr>
        <w:rPr>
          <w:rFonts w:ascii="Times" w:hAnsi="Times" w:cs="Times New Roman"/>
          <w:sz w:val="20"/>
          <w:szCs w:val="20"/>
        </w:rPr>
      </w:pPr>
    </w:p>
    <w:p w14:paraId="4A65B449" w14:textId="77777777" w:rsidR="004B40EF" w:rsidRPr="004B40EF" w:rsidRDefault="004B40EF" w:rsidP="004B40EF">
      <w:pPr>
        <w:rPr>
          <w:rFonts w:ascii="Times" w:eastAsia="Times New Roman" w:hAnsi="Times" w:cs="Times New Roman"/>
          <w:sz w:val="20"/>
          <w:szCs w:val="20"/>
        </w:rPr>
      </w:pPr>
    </w:p>
    <w:p w14:paraId="0C3D6688" w14:textId="77777777" w:rsidR="004B40EF" w:rsidRPr="004D3BBB" w:rsidRDefault="004B40EF" w:rsidP="009E101F">
      <w:pPr>
        <w:rPr>
          <w:rFonts w:ascii="Helvetica" w:hAnsi="Helvetica"/>
        </w:rPr>
      </w:pPr>
    </w:p>
    <w:sectPr w:rsidR="004B40EF" w:rsidRPr="004D3BBB" w:rsidSect="00D0234D">
      <w:headerReference w:type="default" r:id="rId10"/>
      <w:headerReference w:type="first" r:id="rId11"/>
      <w:footerReference w:type="first" r:id="rId12"/>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fan Gerhardt" w:date="2017-05-19T09:50:00Z" w:initials="SG">
    <w:p w14:paraId="2CDE03C3" w14:textId="70DC1091" w:rsidR="001E6509" w:rsidRDefault="001E6509">
      <w:pPr>
        <w:pStyle w:val="CommentText"/>
      </w:pPr>
      <w:r>
        <w:rPr>
          <w:rStyle w:val="CommentReference"/>
        </w:rPr>
        <w:annotationRef/>
      </w:r>
      <w:r>
        <w:t>This is the most critical one to my mind, as it directly impacts the field line angle at the target  (low elongations tend to have steeper field lines and there higher heat fluxes)</w:t>
      </w:r>
    </w:p>
    <w:p w14:paraId="15461710" w14:textId="77777777" w:rsidR="001E6509" w:rsidRDefault="001E6509">
      <w:pPr>
        <w:pStyle w:val="CommentText"/>
      </w:pPr>
    </w:p>
    <w:p w14:paraId="3CEF74BD" w14:textId="7DA11153" w:rsidR="001E6509" w:rsidRDefault="001E6509">
      <w:pPr>
        <w:pStyle w:val="CommentText"/>
      </w:pPr>
      <w:r>
        <w:t>Is it possible to produce a family of equilibria for each case here and below, then run them through Jon’s code to get heat flux profiles?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04594" w14:textId="77777777" w:rsidR="001E6509" w:rsidRDefault="001E6509">
      <w:r>
        <w:separator/>
      </w:r>
    </w:p>
  </w:endnote>
  <w:endnote w:type="continuationSeparator" w:id="0">
    <w:p w14:paraId="37866AD6" w14:textId="77777777" w:rsidR="001E6509" w:rsidRDefault="001E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11CF1" w14:textId="77777777" w:rsidR="001E6509" w:rsidRDefault="001E65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D4D00" w14:textId="77777777" w:rsidR="001E6509" w:rsidRDefault="001E6509">
      <w:r>
        <w:separator/>
      </w:r>
    </w:p>
  </w:footnote>
  <w:footnote w:type="continuationSeparator" w:id="0">
    <w:p w14:paraId="15F29A31" w14:textId="77777777" w:rsidR="001E6509" w:rsidRDefault="001E65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89733" w14:textId="77777777" w:rsidR="001E6509" w:rsidRDefault="001E6509">
    <w:pPr>
      <w:pStyle w:val="Header"/>
    </w:pPr>
  </w:p>
  <w:p w14:paraId="125D3A33" w14:textId="77777777" w:rsidR="001E6509" w:rsidRDefault="001E65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00B29" w14:textId="77777777" w:rsidR="001E6509" w:rsidRDefault="001E65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9CC"/>
    <w:multiLevelType w:val="hybridMultilevel"/>
    <w:tmpl w:val="197C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3ACB"/>
    <w:multiLevelType w:val="hybridMultilevel"/>
    <w:tmpl w:val="AB96203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D53B7"/>
    <w:multiLevelType w:val="hybridMultilevel"/>
    <w:tmpl w:val="2774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E1B4A"/>
    <w:multiLevelType w:val="hybridMultilevel"/>
    <w:tmpl w:val="48B837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2689B"/>
    <w:multiLevelType w:val="hybridMultilevel"/>
    <w:tmpl w:val="8378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D1BF7"/>
    <w:multiLevelType w:val="hybridMultilevel"/>
    <w:tmpl w:val="AB96203E"/>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C238A6"/>
    <w:multiLevelType w:val="hybridMultilevel"/>
    <w:tmpl w:val="90B602EA"/>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4F311A8"/>
    <w:multiLevelType w:val="hybridMultilevel"/>
    <w:tmpl w:val="DEAADF8E"/>
    <w:lvl w:ilvl="0" w:tplc="04090001">
      <w:start w:val="1"/>
      <w:numFmt w:val="bullet"/>
      <w:lvlText w:val="-"/>
      <w:lvlJc w:val="left"/>
      <w:pPr>
        <w:ind w:left="1080" w:hanging="360"/>
      </w:pPr>
      <w:rPr>
        <w:rFonts w:ascii="Helvetica" w:hAnsi="Helvetic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C1754C3"/>
    <w:multiLevelType w:val="hybridMultilevel"/>
    <w:tmpl w:val="AB96203E"/>
    <w:lvl w:ilvl="0" w:tplc="04090001">
      <w:start w:val="1"/>
      <w:numFmt w:val="bullet"/>
      <w:lvlText w:val="-"/>
      <w:lvlJc w:val="left"/>
      <w:pPr>
        <w:ind w:left="1080" w:hanging="360"/>
      </w:pPr>
      <w:rPr>
        <w:rFonts w:ascii="Helvetica" w:hAnsi="Helvetica"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CA"/>
    <w:rsid w:val="000145A7"/>
    <w:rsid w:val="00032943"/>
    <w:rsid w:val="000414BD"/>
    <w:rsid w:val="000577F3"/>
    <w:rsid w:val="00081CDB"/>
    <w:rsid w:val="000A32A0"/>
    <w:rsid w:val="000C6753"/>
    <w:rsid w:val="000D73F4"/>
    <w:rsid w:val="001129A6"/>
    <w:rsid w:val="00114D43"/>
    <w:rsid w:val="00135ABE"/>
    <w:rsid w:val="00151199"/>
    <w:rsid w:val="0015448D"/>
    <w:rsid w:val="00185E3F"/>
    <w:rsid w:val="00190E8D"/>
    <w:rsid w:val="001C6979"/>
    <w:rsid w:val="001E6509"/>
    <w:rsid w:val="00242C15"/>
    <w:rsid w:val="002474D7"/>
    <w:rsid w:val="002516BD"/>
    <w:rsid w:val="0026620E"/>
    <w:rsid w:val="002762D4"/>
    <w:rsid w:val="002874B1"/>
    <w:rsid w:val="002E2916"/>
    <w:rsid w:val="003647DA"/>
    <w:rsid w:val="00387B86"/>
    <w:rsid w:val="003930CC"/>
    <w:rsid w:val="003C6455"/>
    <w:rsid w:val="004104E3"/>
    <w:rsid w:val="00417A84"/>
    <w:rsid w:val="0044179C"/>
    <w:rsid w:val="00443481"/>
    <w:rsid w:val="00453F53"/>
    <w:rsid w:val="0046463C"/>
    <w:rsid w:val="00464877"/>
    <w:rsid w:val="004762A9"/>
    <w:rsid w:val="004932E1"/>
    <w:rsid w:val="004B40EF"/>
    <w:rsid w:val="004C4144"/>
    <w:rsid w:val="004D3BBB"/>
    <w:rsid w:val="004F7B33"/>
    <w:rsid w:val="00511695"/>
    <w:rsid w:val="0052054F"/>
    <w:rsid w:val="00524982"/>
    <w:rsid w:val="00525CFB"/>
    <w:rsid w:val="00537F9D"/>
    <w:rsid w:val="00544A19"/>
    <w:rsid w:val="005C5791"/>
    <w:rsid w:val="006225CA"/>
    <w:rsid w:val="00625032"/>
    <w:rsid w:val="006501A1"/>
    <w:rsid w:val="006664A5"/>
    <w:rsid w:val="006D2D5B"/>
    <w:rsid w:val="007074FE"/>
    <w:rsid w:val="007159B7"/>
    <w:rsid w:val="00732A5B"/>
    <w:rsid w:val="007969D4"/>
    <w:rsid w:val="007A2FB9"/>
    <w:rsid w:val="008351F8"/>
    <w:rsid w:val="00851534"/>
    <w:rsid w:val="008568DA"/>
    <w:rsid w:val="00883C91"/>
    <w:rsid w:val="008B26BC"/>
    <w:rsid w:val="008F3EC0"/>
    <w:rsid w:val="0091548F"/>
    <w:rsid w:val="00942F79"/>
    <w:rsid w:val="00947456"/>
    <w:rsid w:val="00974020"/>
    <w:rsid w:val="0098117B"/>
    <w:rsid w:val="0098449E"/>
    <w:rsid w:val="0099258A"/>
    <w:rsid w:val="009E101F"/>
    <w:rsid w:val="009F76B5"/>
    <w:rsid w:val="00A168C4"/>
    <w:rsid w:val="00A210E2"/>
    <w:rsid w:val="00A43F0B"/>
    <w:rsid w:val="00A75640"/>
    <w:rsid w:val="00AE687A"/>
    <w:rsid w:val="00AF4973"/>
    <w:rsid w:val="00B71126"/>
    <w:rsid w:val="00BF0901"/>
    <w:rsid w:val="00C108E5"/>
    <w:rsid w:val="00C30483"/>
    <w:rsid w:val="00C52407"/>
    <w:rsid w:val="00C5644D"/>
    <w:rsid w:val="00C62F0F"/>
    <w:rsid w:val="00C75A4B"/>
    <w:rsid w:val="00C9088A"/>
    <w:rsid w:val="00CC1CDE"/>
    <w:rsid w:val="00D0234D"/>
    <w:rsid w:val="00D31AAD"/>
    <w:rsid w:val="00D4113E"/>
    <w:rsid w:val="00D60079"/>
    <w:rsid w:val="00D655F5"/>
    <w:rsid w:val="00DA0B35"/>
    <w:rsid w:val="00DD0B68"/>
    <w:rsid w:val="00E27B42"/>
    <w:rsid w:val="00E34D81"/>
    <w:rsid w:val="00E824BF"/>
    <w:rsid w:val="00E9449B"/>
    <w:rsid w:val="00EA4A41"/>
    <w:rsid w:val="00EC5AC8"/>
    <w:rsid w:val="00EF56AE"/>
    <w:rsid w:val="00F8713C"/>
    <w:rsid w:val="00FA1B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F23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semiHidden/>
    <w:unhideWhenUsed/>
    <w:rsid w:val="006225CA"/>
    <w:pPr>
      <w:tabs>
        <w:tab w:val="center" w:pos="4320"/>
        <w:tab w:val="right" w:pos="8640"/>
      </w:tabs>
    </w:pPr>
  </w:style>
  <w:style w:type="character" w:customStyle="1" w:styleId="HeaderChar">
    <w:name w:val="Header Char"/>
    <w:basedOn w:val="DefaultParagraphFont"/>
    <w:link w:val="Header"/>
    <w:uiPriority w:val="99"/>
    <w:semiHidden/>
    <w:rsid w:val="006225CA"/>
    <w:rPr>
      <w:sz w:val="24"/>
      <w:szCs w:val="24"/>
    </w:rPr>
  </w:style>
  <w:style w:type="paragraph" w:styleId="Footer">
    <w:name w:val="footer"/>
    <w:basedOn w:val="Normal"/>
    <w:link w:val="FooterChar"/>
    <w:uiPriority w:val="99"/>
    <w:semiHidden/>
    <w:unhideWhenUsed/>
    <w:rsid w:val="006225CA"/>
    <w:pPr>
      <w:tabs>
        <w:tab w:val="center" w:pos="4320"/>
        <w:tab w:val="right" w:pos="8640"/>
      </w:tabs>
    </w:pPr>
  </w:style>
  <w:style w:type="character" w:customStyle="1" w:styleId="FooterChar">
    <w:name w:val="Footer Char"/>
    <w:basedOn w:val="DefaultParagraphFont"/>
    <w:link w:val="Footer"/>
    <w:uiPriority w:val="99"/>
    <w:semiHidden/>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0145A7"/>
    <w:rPr>
      <w:rFonts w:ascii="Tahoma" w:hAnsi="Tahoma" w:cs="Tahoma"/>
      <w:sz w:val="16"/>
      <w:szCs w:val="16"/>
    </w:rPr>
  </w:style>
  <w:style w:type="character" w:customStyle="1" w:styleId="BalloonTextChar">
    <w:name w:val="Balloon Text Char"/>
    <w:basedOn w:val="DefaultParagraphFont"/>
    <w:link w:val="BalloonText"/>
    <w:rsid w:val="000145A7"/>
    <w:rPr>
      <w:rFonts w:ascii="Tahoma" w:hAnsi="Tahoma" w:cs="Tahoma"/>
      <w:sz w:val="16"/>
      <w:szCs w:val="16"/>
    </w:rPr>
  </w:style>
  <w:style w:type="table" w:styleId="TableGrid">
    <w:name w:val="Table Grid"/>
    <w:basedOn w:val="TableNormal"/>
    <w:rsid w:val="007A2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B40EF"/>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rsid w:val="001129A6"/>
    <w:rPr>
      <w:sz w:val="18"/>
      <w:szCs w:val="18"/>
    </w:rPr>
  </w:style>
  <w:style w:type="paragraph" w:styleId="CommentText">
    <w:name w:val="annotation text"/>
    <w:basedOn w:val="Normal"/>
    <w:link w:val="CommentTextChar"/>
    <w:rsid w:val="001129A6"/>
  </w:style>
  <w:style w:type="character" w:customStyle="1" w:styleId="CommentTextChar">
    <w:name w:val="Comment Text Char"/>
    <w:basedOn w:val="DefaultParagraphFont"/>
    <w:link w:val="CommentText"/>
    <w:rsid w:val="001129A6"/>
  </w:style>
  <w:style w:type="paragraph" w:styleId="CommentSubject">
    <w:name w:val="annotation subject"/>
    <w:basedOn w:val="CommentText"/>
    <w:next w:val="CommentText"/>
    <w:link w:val="CommentSubjectChar"/>
    <w:rsid w:val="001129A6"/>
    <w:rPr>
      <w:b/>
      <w:bCs/>
      <w:sz w:val="20"/>
      <w:szCs w:val="20"/>
    </w:rPr>
  </w:style>
  <w:style w:type="character" w:customStyle="1" w:styleId="CommentSubjectChar">
    <w:name w:val="Comment Subject Char"/>
    <w:basedOn w:val="CommentTextChar"/>
    <w:link w:val="CommentSubject"/>
    <w:rsid w:val="001129A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semiHidden/>
    <w:unhideWhenUsed/>
    <w:rsid w:val="006225CA"/>
    <w:pPr>
      <w:tabs>
        <w:tab w:val="center" w:pos="4320"/>
        <w:tab w:val="right" w:pos="8640"/>
      </w:tabs>
    </w:pPr>
  </w:style>
  <w:style w:type="character" w:customStyle="1" w:styleId="HeaderChar">
    <w:name w:val="Header Char"/>
    <w:basedOn w:val="DefaultParagraphFont"/>
    <w:link w:val="Header"/>
    <w:uiPriority w:val="99"/>
    <w:semiHidden/>
    <w:rsid w:val="006225CA"/>
    <w:rPr>
      <w:sz w:val="24"/>
      <w:szCs w:val="24"/>
    </w:rPr>
  </w:style>
  <w:style w:type="paragraph" w:styleId="Footer">
    <w:name w:val="footer"/>
    <w:basedOn w:val="Normal"/>
    <w:link w:val="FooterChar"/>
    <w:uiPriority w:val="99"/>
    <w:semiHidden/>
    <w:unhideWhenUsed/>
    <w:rsid w:val="006225CA"/>
    <w:pPr>
      <w:tabs>
        <w:tab w:val="center" w:pos="4320"/>
        <w:tab w:val="right" w:pos="8640"/>
      </w:tabs>
    </w:pPr>
  </w:style>
  <w:style w:type="character" w:customStyle="1" w:styleId="FooterChar">
    <w:name w:val="Footer Char"/>
    <w:basedOn w:val="DefaultParagraphFont"/>
    <w:link w:val="Footer"/>
    <w:uiPriority w:val="99"/>
    <w:semiHidden/>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0145A7"/>
    <w:rPr>
      <w:rFonts w:ascii="Tahoma" w:hAnsi="Tahoma" w:cs="Tahoma"/>
      <w:sz w:val="16"/>
      <w:szCs w:val="16"/>
    </w:rPr>
  </w:style>
  <w:style w:type="character" w:customStyle="1" w:styleId="BalloonTextChar">
    <w:name w:val="Balloon Text Char"/>
    <w:basedOn w:val="DefaultParagraphFont"/>
    <w:link w:val="BalloonText"/>
    <w:rsid w:val="000145A7"/>
    <w:rPr>
      <w:rFonts w:ascii="Tahoma" w:hAnsi="Tahoma" w:cs="Tahoma"/>
      <w:sz w:val="16"/>
      <w:szCs w:val="16"/>
    </w:rPr>
  </w:style>
  <w:style w:type="table" w:styleId="TableGrid">
    <w:name w:val="Table Grid"/>
    <w:basedOn w:val="TableNormal"/>
    <w:rsid w:val="007A2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B40EF"/>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rsid w:val="001129A6"/>
    <w:rPr>
      <w:sz w:val="18"/>
      <w:szCs w:val="18"/>
    </w:rPr>
  </w:style>
  <w:style w:type="paragraph" w:styleId="CommentText">
    <w:name w:val="annotation text"/>
    <w:basedOn w:val="Normal"/>
    <w:link w:val="CommentTextChar"/>
    <w:rsid w:val="001129A6"/>
  </w:style>
  <w:style w:type="character" w:customStyle="1" w:styleId="CommentTextChar">
    <w:name w:val="Comment Text Char"/>
    <w:basedOn w:val="DefaultParagraphFont"/>
    <w:link w:val="CommentText"/>
    <w:rsid w:val="001129A6"/>
  </w:style>
  <w:style w:type="paragraph" w:styleId="CommentSubject">
    <w:name w:val="annotation subject"/>
    <w:basedOn w:val="CommentText"/>
    <w:next w:val="CommentText"/>
    <w:link w:val="CommentSubjectChar"/>
    <w:rsid w:val="001129A6"/>
    <w:rPr>
      <w:b/>
      <w:bCs/>
      <w:sz w:val="20"/>
      <w:szCs w:val="20"/>
    </w:rPr>
  </w:style>
  <w:style w:type="character" w:customStyle="1" w:styleId="CommentSubjectChar">
    <w:name w:val="Comment Subject Char"/>
    <w:basedOn w:val="CommentTextChar"/>
    <w:link w:val="CommentSubject"/>
    <w:rsid w:val="001129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84543">
      <w:bodyDiv w:val="1"/>
      <w:marLeft w:val="0"/>
      <w:marRight w:val="0"/>
      <w:marTop w:val="0"/>
      <w:marBottom w:val="0"/>
      <w:divBdr>
        <w:top w:val="none" w:sz="0" w:space="0" w:color="auto"/>
        <w:left w:val="none" w:sz="0" w:space="0" w:color="auto"/>
        <w:bottom w:val="none" w:sz="0" w:space="0" w:color="auto"/>
        <w:right w:val="none" w:sz="0" w:space="0" w:color="auto"/>
      </w:divBdr>
    </w:div>
    <w:div w:id="1937247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1751</Words>
  <Characters>9982</Characters>
  <Application>Microsoft Macintosh Word</Application>
  <DocSecurity>0</DocSecurity>
  <Lines>83</Lines>
  <Paragraphs>23</Paragraphs>
  <ScaleCrop>false</ScaleCrop>
  <Company>PPPL</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Neumeyer</dc:creator>
  <cp:keywords/>
  <cp:lastModifiedBy>Devon Battaglia</cp:lastModifiedBy>
  <cp:revision>7</cp:revision>
  <cp:lastPrinted>2017-03-16T00:17:00Z</cp:lastPrinted>
  <dcterms:created xsi:type="dcterms:W3CDTF">2017-05-22T19:37:00Z</dcterms:created>
  <dcterms:modified xsi:type="dcterms:W3CDTF">2017-05-22T19:52:00Z</dcterms:modified>
</cp:coreProperties>
</file>