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82F0A" w14:textId="6F29D169" w:rsidR="00B364E4" w:rsidRDefault="002D72DC" w:rsidP="00B364E4">
      <w:pPr>
        <w:contextualSpacing/>
        <w:jc w:val="center"/>
        <w:rPr>
          <w:rFonts w:ascii="Times" w:hAnsi="Times"/>
          <w:b/>
          <w:szCs w:val="22"/>
        </w:rPr>
      </w:pPr>
      <w:r>
        <w:rPr>
          <w:rFonts w:ascii="Times" w:hAnsi="Times"/>
          <w:b/>
        </w:rPr>
        <w:t>NSTX Team contributions</w:t>
      </w:r>
      <w:r w:rsidR="00B364E4" w:rsidRPr="00B77F5A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accepted for presentation at</w:t>
      </w:r>
      <w:r w:rsidR="00B364E4" w:rsidRPr="00B77F5A">
        <w:rPr>
          <w:rFonts w:ascii="Times" w:hAnsi="Times"/>
          <w:b/>
        </w:rPr>
        <w:t xml:space="preserve"> the </w:t>
      </w:r>
      <w:r w:rsidR="00B364E4">
        <w:rPr>
          <w:rFonts w:ascii="Times" w:hAnsi="Times"/>
          <w:b/>
          <w:szCs w:val="22"/>
        </w:rPr>
        <w:t>20</w:t>
      </w:r>
      <w:r w:rsidR="00B364E4" w:rsidRPr="00B77F5A">
        <w:rPr>
          <w:rFonts w:ascii="Times" w:hAnsi="Times"/>
          <w:b/>
          <w:szCs w:val="22"/>
        </w:rPr>
        <w:t xml:space="preserve">th International Conference on Plasma Surface Interactions </w:t>
      </w:r>
      <w:r w:rsidR="00B364E4">
        <w:rPr>
          <w:rFonts w:ascii="Times" w:hAnsi="Times"/>
          <w:b/>
          <w:szCs w:val="22"/>
        </w:rPr>
        <w:t>in Fusion Devices</w:t>
      </w:r>
      <w:r>
        <w:rPr>
          <w:rFonts w:ascii="Times" w:hAnsi="Times"/>
          <w:b/>
          <w:szCs w:val="22"/>
        </w:rPr>
        <w:t>,</w:t>
      </w:r>
      <w:r w:rsidR="00B364E4">
        <w:rPr>
          <w:rFonts w:ascii="Times" w:hAnsi="Times"/>
          <w:b/>
          <w:szCs w:val="22"/>
        </w:rPr>
        <w:t xml:space="preserve"> </w:t>
      </w:r>
      <w:r w:rsidR="00B364E4" w:rsidRPr="00B77F5A">
        <w:rPr>
          <w:rFonts w:ascii="Times" w:hAnsi="Times"/>
          <w:b/>
          <w:szCs w:val="22"/>
        </w:rPr>
        <w:t xml:space="preserve">to be held in </w:t>
      </w:r>
      <w:r w:rsidR="00B364E4">
        <w:rPr>
          <w:rFonts w:ascii="Times" w:hAnsi="Times"/>
          <w:b/>
          <w:szCs w:val="22"/>
        </w:rPr>
        <w:t>Aachen, Germany in May 2012</w:t>
      </w:r>
    </w:p>
    <w:p w14:paraId="11F54125" w14:textId="5085ED0D" w:rsidR="000176B5" w:rsidRPr="00B77F5A" w:rsidRDefault="000176B5" w:rsidP="00B364E4">
      <w:pPr>
        <w:contextualSpacing/>
        <w:jc w:val="center"/>
        <w:rPr>
          <w:rFonts w:ascii="Times" w:hAnsi="Times"/>
          <w:b/>
        </w:rPr>
      </w:pPr>
      <w:r w:rsidRPr="000176B5">
        <w:rPr>
          <w:rFonts w:ascii="Times" w:hAnsi="Times"/>
          <w:b/>
        </w:rPr>
        <w:t>https://www.congressa.de/PSI2012/</w:t>
      </w:r>
    </w:p>
    <w:p w14:paraId="75814B5A" w14:textId="77777777" w:rsidR="00B364E4" w:rsidRPr="00B77F5A" w:rsidRDefault="00B364E4" w:rsidP="00B364E4">
      <w:pPr>
        <w:contextualSpacing/>
        <w:jc w:val="both"/>
        <w:rPr>
          <w:rFonts w:ascii="Times" w:hAnsi="Times"/>
        </w:rPr>
      </w:pPr>
    </w:p>
    <w:p w14:paraId="7C34A8CA" w14:textId="24D345E2" w:rsidR="00B364E4" w:rsidRPr="00E30D71" w:rsidRDefault="00C25D3A" w:rsidP="00B364E4">
      <w:pPr>
        <w:widowControl w:val="0"/>
        <w:autoSpaceDE w:val="0"/>
        <w:autoSpaceDN w:val="0"/>
        <w:adjustRightInd w:val="0"/>
        <w:jc w:val="both"/>
        <w:rPr>
          <w:rFonts w:cs="Times New Roman"/>
          <w:sz w:val="23"/>
          <w:szCs w:val="23"/>
          <w:u w:val="single"/>
          <w:lang w:val="de-DE"/>
        </w:rPr>
      </w:pPr>
      <w:proofErr w:type="spellStart"/>
      <w:r w:rsidRPr="00E30D71">
        <w:rPr>
          <w:rFonts w:cs="Times New Roman"/>
          <w:sz w:val="23"/>
          <w:szCs w:val="23"/>
          <w:u w:val="single"/>
          <w:lang w:val="de-DE"/>
        </w:rPr>
        <w:t>Invited</w:t>
      </w:r>
      <w:proofErr w:type="spellEnd"/>
      <w:r w:rsidRPr="00E30D71">
        <w:rPr>
          <w:rFonts w:cs="Times New Roman"/>
          <w:sz w:val="23"/>
          <w:szCs w:val="23"/>
          <w:u w:val="single"/>
          <w:lang w:val="de-DE"/>
        </w:rPr>
        <w:t xml:space="preserve"> </w:t>
      </w:r>
      <w:proofErr w:type="spellStart"/>
      <w:r w:rsidRPr="00E30D71">
        <w:rPr>
          <w:rFonts w:cs="Times New Roman"/>
          <w:sz w:val="23"/>
          <w:szCs w:val="23"/>
          <w:u w:val="single"/>
          <w:lang w:val="de-DE"/>
        </w:rPr>
        <w:t>talk</w:t>
      </w:r>
      <w:r w:rsidR="0011724D" w:rsidRPr="00E30D71">
        <w:rPr>
          <w:rFonts w:cs="Times New Roman"/>
          <w:sz w:val="23"/>
          <w:szCs w:val="23"/>
          <w:u w:val="single"/>
          <w:lang w:val="de-DE"/>
        </w:rPr>
        <w:t>s</w:t>
      </w:r>
      <w:proofErr w:type="spellEnd"/>
      <w:r w:rsidRPr="00E30D71">
        <w:rPr>
          <w:rFonts w:cs="Times New Roman"/>
          <w:sz w:val="23"/>
          <w:szCs w:val="23"/>
          <w:u w:val="single"/>
          <w:lang w:val="de-DE"/>
        </w:rPr>
        <w:t>:</w:t>
      </w:r>
    </w:p>
    <w:p w14:paraId="40415C16" w14:textId="77777777" w:rsidR="000C4683" w:rsidRPr="00E53297" w:rsidRDefault="000C4683" w:rsidP="00B364E4">
      <w:pPr>
        <w:widowControl w:val="0"/>
        <w:autoSpaceDE w:val="0"/>
        <w:autoSpaceDN w:val="0"/>
        <w:adjustRightInd w:val="0"/>
        <w:jc w:val="both"/>
        <w:rPr>
          <w:rFonts w:cs="Times New Roman"/>
          <w:u w:val="single"/>
          <w:lang w:val="de-DE"/>
        </w:rPr>
      </w:pPr>
    </w:p>
    <w:p w14:paraId="4E03150E" w14:textId="3EEA5EFD" w:rsidR="00C25D3A" w:rsidRPr="002D1CC3" w:rsidRDefault="00C25D3A" w:rsidP="000C46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cs="Times New Roman"/>
          <w:sz w:val="22"/>
          <w:szCs w:val="22"/>
          <w:lang w:val="de-DE"/>
        </w:rPr>
        <w:t xml:space="preserve">R. Maingi, </w:t>
      </w:r>
      <w:r w:rsidRPr="002D1CC3">
        <w:rPr>
          <w:rFonts w:eastAsiaTheme="minorEastAsia" w:cs="Times New Roman"/>
          <w:sz w:val="22"/>
          <w:szCs w:val="22"/>
          <w:lang w:eastAsia="ja-JP"/>
        </w:rPr>
        <w:t>“Physics of the H-mode pedestal and its role in setting the power flux channel”</w:t>
      </w:r>
    </w:p>
    <w:p w14:paraId="77222262" w14:textId="01FEA1EB" w:rsidR="00C25D3A" w:rsidRPr="002D1CC3" w:rsidRDefault="00AB5868" w:rsidP="000C46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 xml:space="preserve">V. A. </w:t>
      </w:r>
      <w:r w:rsidR="00C25D3A" w:rsidRPr="002D1CC3">
        <w:rPr>
          <w:rFonts w:eastAsiaTheme="minorEastAsia" w:cs="Times New Roman"/>
          <w:sz w:val="22"/>
          <w:szCs w:val="22"/>
          <w:lang w:eastAsia="ja-JP"/>
        </w:rPr>
        <w:t>Soukhanovskii, “Advanced divertor configurations with large flux expansion”</w:t>
      </w:r>
    </w:p>
    <w:p w14:paraId="14B2C519" w14:textId="77777777" w:rsidR="00C25D3A" w:rsidRPr="00F1472C" w:rsidRDefault="00C25D3A" w:rsidP="00B364E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lang w:eastAsia="ja-JP"/>
        </w:rPr>
      </w:pPr>
    </w:p>
    <w:p w14:paraId="29400728" w14:textId="4C35933A" w:rsidR="00C25D3A" w:rsidRPr="00E30D71" w:rsidRDefault="002D72DC" w:rsidP="00B364E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3"/>
          <w:szCs w:val="23"/>
          <w:u w:val="single"/>
          <w:lang w:eastAsia="ja-JP"/>
        </w:rPr>
      </w:pPr>
      <w:r>
        <w:rPr>
          <w:rFonts w:eastAsiaTheme="minorEastAsia" w:cs="Times New Roman"/>
          <w:sz w:val="23"/>
          <w:szCs w:val="23"/>
          <w:u w:val="single"/>
          <w:lang w:eastAsia="ja-JP"/>
        </w:rPr>
        <w:t>Posters:</w:t>
      </w:r>
      <w:bookmarkStart w:id="0" w:name="_GoBack"/>
      <w:bookmarkEnd w:id="0"/>
    </w:p>
    <w:p w14:paraId="480FDC86" w14:textId="77777777" w:rsidR="00C25D3A" w:rsidRDefault="00C25D3A" w:rsidP="00AE6089">
      <w:pPr>
        <w:widowControl w:val="0"/>
        <w:autoSpaceDE w:val="0"/>
        <w:autoSpaceDN w:val="0"/>
        <w:adjustRightInd w:val="0"/>
        <w:rPr>
          <w:rFonts w:eastAsiaTheme="minorEastAsia" w:cs="Times New Roman"/>
          <w:color w:val="000000"/>
          <w:lang w:eastAsia="ja-JP"/>
        </w:rPr>
      </w:pPr>
    </w:p>
    <w:p w14:paraId="5790974D" w14:textId="77777777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2D1CC3">
        <w:rPr>
          <w:rFonts w:cs="Times New Roman"/>
          <w:color w:val="000000"/>
          <w:sz w:val="22"/>
          <w:szCs w:val="22"/>
        </w:rPr>
        <w:t>T. Abrams, “</w:t>
      </w:r>
      <w:r w:rsidRPr="002D1CC3">
        <w:rPr>
          <w:rFonts w:cs="Times New Roman"/>
          <w:sz w:val="22"/>
          <w:szCs w:val="22"/>
        </w:rPr>
        <w:t>Response of NSTX Liquid Lithium Divertor to High Heat Loads”</w:t>
      </w:r>
    </w:p>
    <w:p w14:paraId="3577FF79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2"/>
          <w:szCs w:val="22"/>
          <w:lang w:eastAsia="ja-JP"/>
        </w:rPr>
      </w:pPr>
    </w:p>
    <w:p w14:paraId="238BC910" w14:textId="3AC9DC4E" w:rsidR="00C25D3A" w:rsidRPr="002D1CC3" w:rsidRDefault="00C25D3A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color w:val="000000"/>
          <w:sz w:val="22"/>
          <w:szCs w:val="22"/>
          <w:lang w:eastAsia="ja-JP"/>
        </w:rPr>
        <w:t>J-W. Ahn</w:t>
      </w:r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“Study of non-axisymmetric divertor str</w:t>
      </w:r>
      <w:r w:rsidR="00AE6089"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 xml:space="preserve">ucture using 2-D IR and visible </w:t>
      </w: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cameras and a 3-D heat conduction solver in NSTX”</w:t>
      </w:r>
    </w:p>
    <w:p w14:paraId="7B1AD1B9" w14:textId="77777777" w:rsidR="005771B6" w:rsidRPr="002D1CC3" w:rsidRDefault="005771B6" w:rsidP="005771B6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</w:p>
    <w:p w14:paraId="1E2E8E6E" w14:textId="4F3A9FB1" w:rsidR="005771B6" w:rsidRPr="002D1CC3" w:rsidRDefault="005771B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D. P. Boyle, “</w:t>
      </w:r>
      <w:proofErr w:type="spellStart"/>
      <w:r w:rsidRPr="002D1CC3">
        <w:rPr>
          <w:sz w:val="22"/>
          <w:szCs w:val="22"/>
          <w:lang w:val="de-DE"/>
        </w:rPr>
        <w:t>Varying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pre-discharge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lithium</w:t>
      </w:r>
      <w:proofErr w:type="spellEnd"/>
      <w:r w:rsidRPr="002D1CC3">
        <w:rPr>
          <w:sz w:val="22"/>
          <w:szCs w:val="22"/>
          <w:lang w:val="de-DE"/>
        </w:rPr>
        <w:t xml:space="preserve"> wall </w:t>
      </w:r>
      <w:proofErr w:type="spellStart"/>
      <w:r w:rsidRPr="002D1CC3">
        <w:rPr>
          <w:sz w:val="22"/>
          <w:szCs w:val="22"/>
          <w:lang w:val="de-DE"/>
        </w:rPr>
        <w:t>coatings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to</w:t>
      </w:r>
      <w:proofErr w:type="spellEnd"/>
      <w:r w:rsidRPr="002D1CC3">
        <w:rPr>
          <w:sz w:val="22"/>
          <w:szCs w:val="22"/>
          <w:lang w:val="de-DE"/>
        </w:rPr>
        <w:t xml:space="preserve"> alter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characteristics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of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ELM-</w:t>
      </w:r>
      <w:proofErr w:type="spellStart"/>
      <w:r w:rsidRPr="002D1CC3">
        <w:rPr>
          <w:sz w:val="22"/>
          <w:szCs w:val="22"/>
          <w:lang w:val="de-DE"/>
        </w:rPr>
        <w:t>free</w:t>
      </w:r>
      <w:proofErr w:type="spellEnd"/>
      <w:r w:rsidRPr="002D1CC3">
        <w:rPr>
          <w:sz w:val="22"/>
          <w:szCs w:val="22"/>
          <w:lang w:val="de-DE"/>
        </w:rPr>
        <w:t xml:space="preserve"> H-mode </w:t>
      </w:r>
      <w:proofErr w:type="spellStart"/>
      <w:r w:rsidRPr="002D1CC3">
        <w:rPr>
          <w:sz w:val="22"/>
          <w:szCs w:val="22"/>
          <w:lang w:val="de-DE"/>
        </w:rPr>
        <w:t>pedestal</w:t>
      </w:r>
      <w:proofErr w:type="spellEnd"/>
      <w:r w:rsidRPr="002D1CC3">
        <w:rPr>
          <w:sz w:val="22"/>
          <w:szCs w:val="22"/>
          <w:lang w:val="de-DE"/>
        </w:rPr>
        <w:t xml:space="preserve"> in NSTX“</w:t>
      </w:r>
    </w:p>
    <w:p w14:paraId="2E675888" w14:textId="77777777" w:rsidR="00C25D3A" w:rsidRPr="002D1CC3" w:rsidRDefault="00C25D3A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2"/>
          <w:szCs w:val="22"/>
          <w:lang w:eastAsia="ja-JP"/>
        </w:rPr>
      </w:pPr>
    </w:p>
    <w:p w14:paraId="3D64987C" w14:textId="42F72EE4" w:rsidR="00C25D3A" w:rsidRPr="002D1CC3" w:rsidRDefault="004A6F71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</w:rPr>
        <w:t>M.</w:t>
      </w:r>
      <w:r w:rsidR="00AE6089" w:rsidRPr="002D1CC3">
        <w:rPr>
          <w:rFonts w:cs="Times New Roman"/>
          <w:sz w:val="22"/>
          <w:szCs w:val="22"/>
        </w:rPr>
        <w:t xml:space="preserve"> </w:t>
      </w:r>
      <w:r w:rsidRPr="002D1CC3">
        <w:rPr>
          <w:rFonts w:cs="Times New Roman"/>
          <w:sz w:val="22"/>
          <w:szCs w:val="22"/>
        </w:rPr>
        <w:t xml:space="preserve">A. </w:t>
      </w:r>
      <w:proofErr w:type="spellStart"/>
      <w:r w:rsidRPr="002D1CC3">
        <w:rPr>
          <w:rFonts w:cs="Times New Roman"/>
          <w:sz w:val="22"/>
          <w:szCs w:val="22"/>
        </w:rPr>
        <w:t>Jaworski</w:t>
      </w:r>
      <w:proofErr w:type="spellEnd"/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cs="Times New Roman"/>
          <w:bCs/>
          <w:sz w:val="22"/>
          <w:szCs w:val="22"/>
        </w:rPr>
        <w:t>“</w:t>
      </w:r>
      <w:r w:rsidR="00C25D3A" w:rsidRPr="002D1CC3">
        <w:rPr>
          <w:rFonts w:cs="Times New Roman"/>
          <w:bCs/>
          <w:sz w:val="22"/>
          <w:szCs w:val="22"/>
        </w:rPr>
        <w:t>Observation of non-</w:t>
      </w:r>
      <w:proofErr w:type="spellStart"/>
      <w:r w:rsidR="00C25D3A" w:rsidRPr="002D1CC3">
        <w:rPr>
          <w:rFonts w:cs="Times New Roman"/>
          <w:bCs/>
          <w:sz w:val="22"/>
          <w:szCs w:val="22"/>
        </w:rPr>
        <w:t>Maxwellian</w:t>
      </w:r>
      <w:proofErr w:type="spellEnd"/>
      <w:r w:rsidR="00C25D3A" w:rsidRPr="002D1CC3">
        <w:rPr>
          <w:rFonts w:cs="Times New Roman"/>
          <w:bCs/>
          <w:sz w:val="22"/>
          <w:szCs w:val="22"/>
        </w:rPr>
        <w:t xml:space="preserve"> electron distributions in the NSTX divertor</w:t>
      </w:r>
      <w:r w:rsidRPr="002D1CC3">
        <w:rPr>
          <w:rFonts w:cs="Times New Roman"/>
          <w:bCs/>
          <w:sz w:val="22"/>
          <w:szCs w:val="22"/>
        </w:rPr>
        <w:t>”</w:t>
      </w:r>
    </w:p>
    <w:p w14:paraId="38270466" w14:textId="77777777" w:rsidR="00BA7F35" w:rsidRPr="002D1CC3" w:rsidRDefault="00BA7F35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</w:p>
    <w:p w14:paraId="4EAF5A46" w14:textId="4F50B7B2" w:rsidR="00BA7F35" w:rsidRPr="002D1CC3" w:rsidRDefault="00BA7F35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  <w:lang w:val="de-DE"/>
        </w:rPr>
        <w:t xml:space="preserve">R. J. </w:t>
      </w:r>
      <w:proofErr w:type="spellStart"/>
      <w:r w:rsidRPr="002D1CC3">
        <w:rPr>
          <w:rFonts w:cs="Times New Roman"/>
          <w:sz w:val="22"/>
          <w:szCs w:val="22"/>
          <w:lang w:val="de-DE"/>
        </w:rPr>
        <w:t>Goldston</w:t>
      </w:r>
      <w:proofErr w:type="spellEnd"/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cs="Times New Roman"/>
          <w:bCs/>
          <w:sz w:val="22"/>
          <w:szCs w:val="22"/>
        </w:rPr>
        <w:t>“</w:t>
      </w:r>
      <w:proofErr w:type="spellStart"/>
      <w:r w:rsidRPr="002D1CC3">
        <w:rPr>
          <w:rFonts w:eastAsiaTheme="minorEastAsia" w:cs="Times New Roman"/>
          <w:sz w:val="22"/>
          <w:szCs w:val="22"/>
          <w:lang w:eastAsia="ja-JP"/>
        </w:rPr>
        <w:t>Pfirsch-Schluter</w:t>
      </w:r>
      <w:proofErr w:type="spellEnd"/>
      <w:r w:rsidRPr="002D1CC3">
        <w:rPr>
          <w:rFonts w:eastAsiaTheme="minorEastAsia" w:cs="Times New Roman"/>
          <w:sz w:val="22"/>
          <w:szCs w:val="22"/>
          <w:lang w:eastAsia="ja-JP"/>
        </w:rPr>
        <w:t xml:space="preserve"> Flow in a SOL with Steep Pressure Gradient”</w:t>
      </w:r>
    </w:p>
    <w:p w14:paraId="5103192D" w14:textId="77777777" w:rsidR="00855E6E" w:rsidRPr="002D1CC3" w:rsidRDefault="00855E6E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</w:p>
    <w:p w14:paraId="6A8A26E5" w14:textId="7CE202FF" w:rsidR="00855E6E" w:rsidRPr="002D1CC3" w:rsidRDefault="00855E6E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  <w:lang w:val="de-DE"/>
        </w:rPr>
        <w:t xml:space="preserve">T. K. Gray, </w:t>
      </w:r>
      <w:r w:rsidRPr="002D1CC3">
        <w:rPr>
          <w:rFonts w:cs="Times New Roman"/>
          <w:bCs/>
          <w:sz w:val="22"/>
          <w:szCs w:val="22"/>
        </w:rPr>
        <w:t>“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>The Effects of Increasing Lithium Deposition on the Power Exhaust Channel in NSTX”</w:t>
      </w:r>
    </w:p>
    <w:p w14:paraId="0B3C3935" w14:textId="77777777" w:rsidR="00B364E4" w:rsidRPr="002D1CC3" w:rsidRDefault="00B364E4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4C4CCD0F" w14:textId="77777777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D1CC3">
        <w:rPr>
          <w:rFonts w:cs="Times New Roman"/>
          <w:sz w:val="22"/>
          <w:szCs w:val="22"/>
        </w:rPr>
        <w:t>R. Kaita, “</w:t>
      </w:r>
      <w:r w:rsidRPr="002D1CC3">
        <w:rPr>
          <w:rFonts w:cs="Times New Roman"/>
          <w:bCs/>
          <w:sz w:val="22"/>
          <w:szCs w:val="22"/>
        </w:rPr>
        <w:t>Comparison of H-Mode Plasmas Diverted to Solid and Liquid Lithium Surfaces”</w:t>
      </w:r>
    </w:p>
    <w:p w14:paraId="60AC47D6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1A0C8193" w14:textId="75FA36A6" w:rsidR="00BA7F35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>J. D. Lore, “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Effect of n=3 Fields Below the ELM Triggering </w:t>
      </w:r>
      <w:proofErr w:type="spellStart"/>
      <w:r w:rsidRPr="002D1CC3">
        <w:rPr>
          <w:rFonts w:eastAsiaTheme="minorEastAsia" w:cs="Times New Roman"/>
          <w:bCs/>
          <w:sz w:val="22"/>
          <w:szCs w:val="22"/>
          <w:lang w:eastAsia="ja-JP"/>
        </w:rPr>
        <w:t>Threshhold</w:t>
      </w:r>
      <w:proofErr w:type="spellEnd"/>
      <w:r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 on edge and</w:t>
      </w:r>
      <w:r w:rsidR="007E3C6B"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 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>SOL transport in NSTX”</w:t>
      </w:r>
    </w:p>
    <w:p w14:paraId="3DE222A0" w14:textId="77777777" w:rsidR="00BA7F35" w:rsidRPr="002D1CC3" w:rsidRDefault="00BA7F35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</w:p>
    <w:p w14:paraId="1B0F8807" w14:textId="0AB8D8BA" w:rsidR="00BA7F35" w:rsidRPr="002D1CC3" w:rsidRDefault="00BA7F35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>A. G. McLean, “</w:t>
      </w:r>
      <w:r w:rsidRPr="002D1CC3">
        <w:rPr>
          <w:sz w:val="22"/>
          <w:szCs w:val="22"/>
        </w:rPr>
        <w:t>Measurement and modeling of surface temperature dynamics of the NSTX Liquid Lithium Divertor under plasma-induced heating and lithium pre-heating”</w:t>
      </w:r>
    </w:p>
    <w:p w14:paraId="23ED1EBF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15F5E659" w14:textId="058A5A93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i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color w:val="000000"/>
          <w:sz w:val="22"/>
          <w:szCs w:val="22"/>
          <w:lang w:eastAsia="ja-JP"/>
        </w:rPr>
        <w:t>F. Scotti, “</w:t>
      </w:r>
      <w:r w:rsidRPr="002D1CC3">
        <w:rPr>
          <w:rFonts w:eastAsiaTheme="minorEastAsia" w:cs="Times New Roman"/>
          <w:bCs/>
          <w:iCs/>
          <w:color w:val="000000"/>
          <w:sz w:val="22"/>
          <w:szCs w:val="22"/>
          <w:lang w:eastAsia="ja-JP"/>
        </w:rPr>
        <w:t>Study of carbon influxes from lithium-coated graphite plasma facing components in NSTX H-mode discharges”</w:t>
      </w:r>
    </w:p>
    <w:p w14:paraId="3919B527" w14:textId="77777777" w:rsidR="00DB055B" w:rsidRPr="002D1CC3" w:rsidRDefault="00DB055B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14:paraId="46502B06" w14:textId="49D23DBA" w:rsidR="00F84D2C" w:rsidRPr="002D1CC3" w:rsidRDefault="00DE779C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bidi="en-US"/>
        </w:rPr>
      </w:pPr>
      <w:r w:rsidRPr="002D1CC3">
        <w:rPr>
          <w:rFonts w:cs="Times New Roman"/>
          <w:color w:val="000000"/>
          <w:sz w:val="22"/>
          <w:szCs w:val="22"/>
        </w:rPr>
        <w:t>C.</w:t>
      </w:r>
      <w:r w:rsidR="00BE59FD" w:rsidRPr="002D1CC3">
        <w:rPr>
          <w:rFonts w:cs="Times New Roman"/>
          <w:color w:val="000000"/>
          <w:sz w:val="22"/>
          <w:szCs w:val="22"/>
        </w:rPr>
        <w:t xml:space="preserve"> </w:t>
      </w:r>
      <w:r w:rsidRPr="002D1CC3">
        <w:rPr>
          <w:rFonts w:cs="Times New Roman"/>
          <w:color w:val="000000"/>
          <w:sz w:val="22"/>
          <w:szCs w:val="22"/>
        </w:rPr>
        <w:t>H. Skinner, “</w:t>
      </w:r>
      <w:r w:rsidR="00F84D2C" w:rsidRPr="002D1CC3">
        <w:rPr>
          <w:rFonts w:cs="Times New Roman"/>
          <w:sz w:val="22"/>
          <w:szCs w:val="22"/>
          <w:lang w:bidi="en-US"/>
        </w:rPr>
        <w:t>Plasma Facing Surface Composition During NSTX Li Experiments</w:t>
      </w:r>
      <w:r w:rsidRPr="002D1CC3">
        <w:rPr>
          <w:rFonts w:cs="Times New Roman"/>
          <w:sz w:val="22"/>
          <w:szCs w:val="22"/>
          <w:lang w:bidi="en-US"/>
        </w:rPr>
        <w:t>”</w:t>
      </w:r>
    </w:p>
    <w:p w14:paraId="0F405AF6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bidi="en-US"/>
        </w:rPr>
      </w:pPr>
    </w:p>
    <w:p w14:paraId="76461C52" w14:textId="7E780123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 xml:space="preserve">D.  P.  Stotler, “Pedestal Fueling Simulations with a Coupled Kinetic Plasma </w:t>
      </w:r>
      <w:r w:rsidR="007E3C6B" w:rsidRPr="002D1CC3">
        <w:rPr>
          <w:rFonts w:eastAsiaTheme="minorEastAsia" w:cs="Times New Roman"/>
          <w:sz w:val="22"/>
          <w:szCs w:val="22"/>
          <w:lang w:eastAsia="ja-JP"/>
        </w:rPr>
        <w:t>–</w:t>
      </w:r>
      <w:r w:rsidRPr="002D1CC3">
        <w:rPr>
          <w:rFonts w:eastAsiaTheme="minorEastAsia" w:cs="Times New Roman"/>
          <w:sz w:val="22"/>
          <w:szCs w:val="22"/>
          <w:lang w:eastAsia="ja-JP"/>
        </w:rPr>
        <w:t xml:space="preserve"> Neutral</w:t>
      </w:r>
      <w:r w:rsidR="007E3C6B" w:rsidRPr="002D1CC3">
        <w:rPr>
          <w:rFonts w:eastAsiaTheme="minorEastAsia" w:cs="Times New Roman"/>
          <w:sz w:val="22"/>
          <w:szCs w:val="22"/>
          <w:lang w:eastAsia="ja-JP"/>
        </w:rPr>
        <w:t xml:space="preserve"> </w:t>
      </w:r>
      <w:r w:rsidRPr="002D1CC3">
        <w:rPr>
          <w:rFonts w:eastAsiaTheme="minorEastAsia" w:cs="Times New Roman"/>
          <w:sz w:val="22"/>
          <w:szCs w:val="22"/>
          <w:lang w:eastAsia="ja-JP"/>
        </w:rPr>
        <w:t>Transport Code onto the NSTX Vessel Walls”</w:t>
      </w:r>
    </w:p>
    <w:p w14:paraId="188E3158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</w:p>
    <w:p w14:paraId="1C92D0E1" w14:textId="3D0B91B9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2D1CC3">
        <w:rPr>
          <w:rFonts w:cs="Times New Roman"/>
          <w:color w:val="000000"/>
          <w:sz w:val="22"/>
          <w:szCs w:val="22"/>
        </w:rPr>
        <w:t>C. N. Taylor, “</w:t>
      </w:r>
      <w:r w:rsidR="00BA7F35" w:rsidRPr="002D1CC3">
        <w:rPr>
          <w:sz w:val="22"/>
          <w:szCs w:val="22"/>
        </w:rPr>
        <w:t xml:space="preserve">The role of oxygen in retaining deuterium on </w:t>
      </w:r>
      <w:proofErr w:type="spellStart"/>
      <w:r w:rsidR="00BA7F35" w:rsidRPr="002D1CC3">
        <w:rPr>
          <w:sz w:val="22"/>
          <w:szCs w:val="22"/>
        </w:rPr>
        <w:t>lithiated</w:t>
      </w:r>
      <w:proofErr w:type="spellEnd"/>
      <w:r w:rsidR="00BA7F35" w:rsidRPr="002D1CC3">
        <w:rPr>
          <w:sz w:val="22"/>
          <w:szCs w:val="22"/>
        </w:rPr>
        <w:t xml:space="preserve"> graphite surfaces</w:t>
      </w:r>
      <w:r w:rsidRPr="002D1CC3">
        <w:rPr>
          <w:rFonts w:cs="Times New Roman"/>
          <w:sz w:val="22"/>
          <w:szCs w:val="22"/>
        </w:rPr>
        <w:t>”</w:t>
      </w:r>
    </w:p>
    <w:p w14:paraId="15EE7BFF" w14:textId="77777777" w:rsidR="00035682" w:rsidRPr="002D1CC3" w:rsidRDefault="00035682" w:rsidP="002D1CC3">
      <w:pPr>
        <w:jc w:val="both"/>
        <w:rPr>
          <w:sz w:val="22"/>
          <w:szCs w:val="22"/>
        </w:rPr>
      </w:pPr>
    </w:p>
    <w:sectPr w:rsidR="00035682" w:rsidRPr="002D1CC3" w:rsidSect="00AF40D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49A3" w14:textId="77777777" w:rsidR="00C25D3A" w:rsidRDefault="00C25D3A" w:rsidP="00C25D3A">
      <w:r>
        <w:separator/>
      </w:r>
    </w:p>
  </w:endnote>
  <w:endnote w:type="continuationSeparator" w:id="0">
    <w:p w14:paraId="0ADE0F95" w14:textId="77777777" w:rsidR="00C25D3A" w:rsidRDefault="00C25D3A" w:rsidP="00C2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D46C2" w14:textId="77777777" w:rsidR="00C25D3A" w:rsidRDefault="00C25D3A" w:rsidP="00C25D3A">
      <w:r>
        <w:separator/>
      </w:r>
    </w:p>
  </w:footnote>
  <w:footnote w:type="continuationSeparator" w:id="0">
    <w:p w14:paraId="402CE9CD" w14:textId="77777777" w:rsidR="00C25D3A" w:rsidRDefault="00C25D3A" w:rsidP="00C2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5FF"/>
    <w:multiLevelType w:val="hybridMultilevel"/>
    <w:tmpl w:val="4DE4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D66"/>
    <w:multiLevelType w:val="hybridMultilevel"/>
    <w:tmpl w:val="A4DC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5913"/>
    <w:multiLevelType w:val="hybridMultilevel"/>
    <w:tmpl w:val="CA722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4"/>
    <w:rsid w:val="000176B5"/>
    <w:rsid w:val="00035682"/>
    <w:rsid w:val="000C4683"/>
    <w:rsid w:val="00110D43"/>
    <w:rsid w:val="0011724D"/>
    <w:rsid w:val="00135CA9"/>
    <w:rsid w:val="001576D7"/>
    <w:rsid w:val="002553A1"/>
    <w:rsid w:val="002D1CC3"/>
    <w:rsid w:val="002D72DC"/>
    <w:rsid w:val="00400982"/>
    <w:rsid w:val="00471CC6"/>
    <w:rsid w:val="004A6F71"/>
    <w:rsid w:val="005771B6"/>
    <w:rsid w:val="00646DED"/>
    <w:rsid w:val="007E3C6B"/>
    <w:rsid w:val="007F38A4"/>
    <w:rsid w:val="00855E6E"/>
    <w:rsid w:val="009A16E6"/>
    <w:rsid w:val="009F0C23"/>
    <w:rsid w:val="00AB5868"/>
    <w:rsid w:val="00AE6089"/>
    <w:rsid w:val="00AF40DF"/>
    <w:rsid w:val="00B10858"/>
    <w:rsid w:val="00B364E4"/>
    <w:rsid w:val="00BA7F35"/>
    <w:rsid w:val="00BE59FD"/>
    <w:rsid w:val="00C25D3A"/>
    <w:rsid w:val="00DB055B"/>
    <w:rsid w:val="00DE779C"/>
    <w:rsid w:val="00E30D71"/>
    <w:rsid w:val="00E53297"/>
    <w:rsid w:val="00F1472C"/>
    <w:rsid w:val="00F84D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89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4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4E4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itle">
    <w:name w:val="Title"/>
    <w:basedOn w:val="Normal"/>
    <w:link w:val="TitleChar"/>
    <w:qFormat/>
    <w:rsid w:val="00B364E4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364E4"/>
    <w:rPr>
      <w:rFonts w:ascii="Times" w:eastAsia="Times New Roman" w:hAnsi="Times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364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5D3A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C25D3A"/>
    <w:rPr>
      <w:rFonts w:ascii="Times New Roman" w:eastAsia="Times New Roman" w:hAnsi="Times New Roman" w:cs="Times New Roman"/>
      <w:szCs w:val="20"/>
      <w:lang w:val="de-DE" w:eastAsia="en-US"/>
    </w:rPr>
  </w:style>
  <w:style w:type="character" w:styleId="FootnoteReference">
    <w:name w:val="footnote reference"/>
    <w:rsid w:val="00C25D3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25D3A"/>
    <w:pPr>
      <w:spacing w:after="120"/>
    </w:pPr>
    <w:rPr>
      <w:rFonts w:eastAsia="Times New Roman" w:cs="Times New Roman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5D3A"/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4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4E4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itle">
    <w:name w:val="Title"/>
    <w:basedOn w:val="Normal"/>
    <w:link w:val="TitleChar"/>
    <w:qFormat/>
    <w:rsid w:val="00B364E4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364E4"/>
    <w:rPr>
      <w:rFonts w:ascii="Times" w:eastAsia="Times New Roman" w:hAnsi="Times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364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5D3A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C25D3A"/>
    <w:rPr>
      <w:rFonts w:ascii="Times New Roman" w:eastAsia="Times New Roman" w:hAnsi="Times New Roman" w:cs="Times New Roman"/>
      <w:szCs w:val="20"/>
      <w:lang w:val="de-DE" w:eastAsia="en-US"/>
    </w:rPr>
  </w:style>
  <w:style w:type="character" w:styleId="FootnoteReference">
    <w:name w:val="footnote reference"/>
    <w:rsid w:val="00C25D3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25D3A"/>
    <w:pPr>
      <w:spacing w:after="120"/>
    </w:pPr>
    <w:rPr>
      <w:rFonts w:eastAsia="Times New Roman" w:cs="Times New Roman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5D3A"/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1530</Characters>
  <Application>Microsoft Macintosh Word</Application>
  <DocSecurity>0</DocSecurity>
  <Lines>12</Lines>
  <Paragraphs>3</Paragraphs>
  <ScaleCrop>false</ScaleCrop>
  <Company>LLNL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Soukhanovskii</dc:creator>
  <cp:keywords/>
  <dc:description/>
  <cp:lastModifiedBy>Vlad Soukhanovskii</cp:lastModifiedBy>
  <cp:revision>29</cp:revision>
  <dcterms:created xsi:type="dcterms:W3CDTF">2011-11-29T23:19:00Z</dcterms:created>
  <dcterms:modified xsi:type="dcterms:W3CDTF">2012-02-14T22:44:00Z</dcterms:modified>
</cp:coreProperties>
</file>