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CA" w:rsidRPr="00464877" w:rsidRDefault="006225CA">
      <w:pPr>
        <w:rPr>
          <w:rFonts w:ascii="Helvetica" w:hAnsi="Helvetica"/>
          <w:caps/>
        </w:rPr>
      </w:pPr>
    </w:p>
    <w:p w:rsidR="006225CA" w:rsidRPr="00464877" w:rsidRDefault="006225CA">
      <w:pPr>
        <w:rPr>
          <w:rFonts w:ascii="Helvetica" w:hAnsi="Helvetica"/>
          <w:b/>
          <w:i/>
          <w:caps/>
        </w:rPr>
      </w:pPr>
      <w:r w:rsidRPr="00464877">
        <w:rPr>
          <w:rFonts w:ascii="Helvetica" w:hAnsi="Helvetica"/>
          <w:b/>
          <w:i/>
          <w:caps/>
        </w:rPr>
        <w:t xml:space="preserve">TO: </w:t>
      </w:r>
      <w:r w:rsidR="003B29B3">
        <w:rPr>
          <w:rFonts w:ascii="Helvetica" w:hAnsi="Helvetica"/>
          <w:b/>
          <w:i/>
          <w:caps/>
        </w:rPr>
        <w:t xml:space="preserve">M. JAWORski, S. Gerhardt, </w:t>
      </w:r>
      <w:proofErr w:type="gramStart"/>
      <w:r w:rsidR="003B29B3">
        <w:rPr>
          <w:rFonts w:ascii="Helvetica" w:hAnsi="Helvetica"/>
          <w:b/>
          <w:i/>
          <w:caps/>
        </w:rPr>
        <w:t>j</w:t>
      </w:r>
      <w:proofErr w:type="gramEnd"/>
      <w:r w:rsidR="003B29B3">
        <w:rPr>
          <w:rFonts w:ascii="Helvetica" w:hAnsi="Helvetica"/>
          <w:b/>
          <w:i/>
          <w:caps/>
        </w:rPr>
        <w:t>. menard</w:t>
      </w:r>
    </w:p>
    <w:p w:rsidR="006225CA" w:rsidRPr="00464877" w:rsidRDefault="006225CA">
      <w:pPr>
        <w:rPr>
          <w:rFonts w:ascii="Helvetica" w:hAnsi="Helvetica"/>
          <w:b/>
          <w:i/>
          <w:caps/>
        </w:rPr>
      </w:pPr>
      <w:r w:rsidRPr="00464877">
        <w:rPr>
          <w:rFonts w:ascii="Helvetica" w:hAnsi="Helvetica"/>
          <w:b/>
          <w:i/>
          <w:caps/>
        </w:rPr>
        <w:t xml:space="preserve">FROM: </w:t>
      </w:r>
      <w:r w:rsidR="00BD0D6E">
        <w:rPr>
          <w:rFonts w:ascii="Helvetica" w:hAnsi="Helvetica"/>
          <w:b/>
          <w:i/>
          <w:caps/>
        </w:rPr>
        <w:t>M.L. Reinke and (TBD)</w:t>
      </w:r>
    </w:p>
    <w:p w:rsidR="006225CA" w:rsidRPr="00464877" w:rsidRDefault="006225CA">
      <w:pPr>
        <w:rPr>
          <w:rFonts w:ascii="Helvetica" w:hAnsi="Helvetica"/>
          <w:b/>
          <w:i/>
          <w:caps/>
        </w:rPr>
      </w:pPr>
      <w:r w:rsidRPr="00464877">
        <w:rPr>
          <w:rFonts w:ascii="Helvetica" w:hAnsi="Helvetica"/>
          <w:b/>
          <w:i/>
          <w:caps/>
        </w:rPr>
        <w:t xml:space="preserve">Subject: </w:t>
      </w:r>
      <w:r w:rsidR="00DE0DE5">
        <w:rPr>
          <w:rFonts w:ascii="Helvetica" w:hAnsi="Helvetica"/>
          <w:b/>
          <w:i/>
          <w:caps/>
        </w:rPr>
        <w:t xml:space="preserve">IMPACT OF </w:t>
      </w:r>
      <w:r w:rsidR="003B29B3" w:rsidRPr="003B29B3">
        <w:rPr>
          <w:rFonts w:ascii="Helvetica" w:hAnsi="Helvetica"/>
          <w:b/>
          <w:i/>
          <w:caps/>
        </w:rPr>
        <w:t xml:space="preserve">Coil Alignment </w:t>
      </w:r>
      <w:r w:rsidR="00DE0DE5">
        <w:rPr>
          <w:rFonts w:ascii="Helvetica" w:hAnsi="Helvetica"/>
          <w:b/>
          <w:i/>
          <w:caps/>
        </w:rPr>
        <w:t xml:space="preserve">TOLERANCES ON </w:t>
      </w:r>
      <w:r w:rsidR="003B29B3" w:rsidRPr="003B29B3">
        <w:rPr>
          <w:rFonts w:ascii="Helvetica" w:hAnsi="Helvetica"/>
          <w:b/>
          <w:i/>
          <w:caps/>
        </w:rPr>
        <w:t>PFC Heat Flux Requirements</w:t>
      </w:r>
    </w:p>
    <w:p w:rsidR="00801822" w:rsidRPr="00464877" w:rsidRDefault="00801822">
      <w:pPr>
        <w:rPr>
          <w:rFonts w:ascii="Helvetica" w:hAnsi="Helvetica"/>
          <w:b/>
          <w:i/>
          <w:caps/>
        </w:rPr>
      </w:pPr>
    </w:p>
    <w:p w:rsidR="00B105B0" w:rsidRDefault="00B105B0" w:rsidP="00464877">
      <w:pPr>
        <w:jc w:val="both"/>
        <w:rPr>
          <w:rFonts w:ascii="Helvetica" w:hAnsi="Helvetica"/>
          <w:i/>
          <w:u w:val="single"/>
        </w:rPr>
      </w:pPr>
      <w:r>
        <w:rPr>
          <w:rFonts w:ascii="Helvetica" w:hAnsi="Helvetica"/>
          <w:i/>
          <w:u w:val="single"/>
        </w:rPr>
        <w:t>Recommendation</w:t>
      </w:r>
      <w:r w:rsidR="00801822">
        <w:rPr>
          <w:rFonts w:ascii="Helvetica" w:hAnsi="Helvetica"/>
          <w:i/>
          <w:u w:val="single"/>
        </w:rPr>
        <w:t>s</w:t>
      </w:r>
    </w:p>
    <w:p w:rsidR="00801822" w:rsidRDefault="00801822" w:rsidP="00464877">
      <w:pPr>
        <w:jc w:val="both"/>
        <w:rPr>
          <w:rFonts w:ascii="Helvetica" w:hAnsi="Helvetica"/>
          <w:i/>
          <w:u w:val="single"/>
        </w:rPr>
      </w:pPr>
    </w:p>
    <w:p w:rsidR="00DE0DE5" w:rsidRPr="00DD379E" w:rsidRDefault="003B29B3" w:rsidP="00DD379E">
      <w:pPr>
        <w:pStyle w:val="ListParagraph"/>
        <w:numPr>
          <w:ilvl w:val="0"/>
          <w:numId w:val="13"/>
        </w:numPr>
        <w:jc w:val="both"/>
        <w:rPr>
          <w:rFonts w:ascii="Helvetica" w:hAnsi="Helvetica"/>
        </w:rPr>
      </w:pPr>
      <w:r w:rsidRPr="00801822">
        <w:rPr>
          <w:rFonts w:ascii="Helvetica" w:hAnsi="Helvetica"/>
        </w:rPr>
        <w:t>The heat flux requirements in Tables 4.2-1, 4.3-1, 4.4-1, 4.4-2, 4.4-3 and 4.5-1 in NSTX-U-RQMT-SRD-003 should be based solely on assumptions of axisymmetric he</w:t>
      </w:r>
      <w:r w:rsidR="00206A9E" w:rsidRPr="00801822">
        <w:rPr>
          <w:rFonts w:ascii="Helvetica" w:hAnsi="Helvetica"/>
        </w:rPr>
        <w:t>at flux from the plasma</w:t>
      </w:r>
      <w:r w:rsidR="00FC483F">
        <w:rPr>
          <w:rFonts w:ascii="Helvetica" w:hAnsi="Helvetica"/>
        </w:rPr>
        <w:t>.</w:t>
      </w:r>
      <w:r w:rsidR="0015506B" w:rsidRPr="00DD379E">
        <w:rPr>
          <w:rFonts w:ascii="Helvetica" w:hAnsi="Helvetica"/>
        </w:rPr>
        <w:t xml:space="preserve">  </w:t>
      </w:r>
    </w:p>
    <w:p w:rsidR="00924DDD" w:rsidRPr="00DE0DE5" w:rsidRDefault="00924DDD" w:rsidP="00DE0DE5">
      <w:pPr>
        <w:jc w:val="both"/>
        <w:rPr>
          <w:rFonts w:ascii="Helvetica" w:hAnsi="Helvetica"/>
        </w:rPr>
      </w:pPr>
    </w:p>
    <w:p w:rsidR="00206A9E" w:rsidRDefault="007A332B" w:rsidP="00801822">
      <w:pPr>
        <w:pStyle w:val="ListParagraph"/>
        <w:numPr>
          <w:ilvl w:val="0"/>
          <w:numId w:val="13"/>
        </w:numPr>
        <w:jc w:val="both"/>
        <w:rPr>
          <w:rFonts w:ascii="Helvetica" w:hAnsi="Helvetica"/>
        </w:rPr>
      </w:pPr>
      <w:r>
        <w:rPr>
          <w:rFonts w:ascii="Helvetica" w:hAnsi="Helvetica"/>
        </w:rPr>
        <w:t>The impact of 3D fields</w:t>
      </w:r>
      <w:r w:rsidR="00206A9E" w:rsidRPr="00801822">
        <w:rPr>
          <w:rFonts w:ascii="Helvetica" w:hAnsi="Helvetica"/>
        </w:rPr>
        <w:t xml:space="preserve"> </w:t>
      </w:r>
      <w:r>
        <w:rPr>
          <w:rFonts w:ascii="Helvetica" w:hAnsi="Helvetica"/>
        </w:rPr>
        <w:t>on</w:t>
      </w:r>
      <w:r w:rsidR="00206A9E" w:rsidRPr="00801822">
        <w:rPr>
          <w:rFonts w:ascii="Helvetica" w:hAnsi="Helvetica"/>
        </w:rPr>
        <w:t xml:space="preserve"> </w:t>
      </w:r>
      <w:r>
        <w:rPr>
          <w:rFonts w:ascii="Helvetica" w:hAnsi="Helvetica"/>
        </w:rPr>
        <w:t xml:space="preserve">PFC </w:t>
      </w:r>
      <w:r w:rsidR="00206A9E" w:rsidRPr="00801822">
        <w:rPr>
          <w:rFonts w:ascii="Helvetica" w:hAnsi="Helvetica"/>
        </w:rPr>
        <w:t>he</w:t>
      </w:r>
      <w:r w:rsidR="00DE0DE5">
        <w:rPr>
          <w:rFonts w:ascii="Helvetica" w:hAnsi="Helvetica"/>
        </w:rPr>
        <w:t xml:space="preserve">at flux </w:t>
      </w:r>
      <w:r>
        <w:rPr>
          <w:rFonts w:ascii="Helvetica" w:hAnsi="Helvetica"/>
        </w:rPr>
        <w:t xml:space="preserve">limits </w:t>
      </w:r>
      <w:r w:rsidR="00206A9E" w:rsidRPr="00801822">
        <w:rPr>
          <w:rFonts w:ascii="Helvetica" w:hAnsi="Helvetica"/>
        </w:rPr>
        <w:t xml:space="preserve">should be </w:t>
      </w:r>
      <w:r>
        <w:rPr>
          <w:rFonts w:ascii="Helvetica" w:hAnsi="Helvetica"/>
        </w:rPr>
        <w:t>evaluated</w:t>
      </w:r>
      <w:r w:rsidR="00206A9E" w:rsidRPr="00801822">
        <w:rPr>
          <w:rFonts w:ascii="Helvetica" w:hAnsi="Helvetica"/>
        </w:rPr>
        <w:t xml:space="preserve"> </w:t>
      </w:r>
      <w:r w:rsidR="00F7526D">
        <w:rPr>
          <w:rFonts w:ascii="Helvetica" w:hAnsi="Helvetica"/>
        </w:rPr>
        <w:t>using</w:t>
      </w:r>
      <w:r w:rsidR="00206A9E" w:rsidRPr="00801822">
        <w:rPr>
          <w:rFonts w:ascii="Helvetica" w:hAnsi="Helvetica"/>
        </w:rPr>
        <w:t xml:space="preserve"> results from </w:t>
      </w:r>
      <w:r w:rsidR="00DD379E">
        <w:rPr>
          <w:rFonts w:ascii="Helvetica" w:hAnsi="Helvetica"/>
        </w:rPr>
        <w:t xml:space="preserve">initial </w:t>
      </w:r>
      <w:r w:rsidR="00206A9E" w:rsidRPr="00801822">
        <w:rPr>
          <w:rFonts w:ascii="Helvetica" w:hAnsi="Helvetica"/>
        </w:rPr>
        <w:t xml:space="preserve">plasma </w:t>
      </w:r>
      <w:r w:rsidR="00DD379E">
        <w:rPr>
          <w:rFonts w:ascii="Helvetica" w:hAnsi="Helvetica"/>
        </w:rPr>
        <w:t>operations</w:t>
      </w:r>
      <w:r>
        <w:rPr>
          <w:rFonts w:ascii="Helvetica" w:hAnsi="Helvetica"/>
        </w:rPr>
        <w:t xml:space="preserve">. A </w:t>
      </w:r>
      <w:r w:rsidR="00DE0DE5">
        <w:rPr>
          <w:rFonts w:ascii="Helvetica" w:hAnsi="Helvetica"/>
        </w:rPr>
        <w:t>plan</w:t>
      </w:r>
      <w:r w:rsidR="00DD379E">
        <w:rPr>
          <w:rFonts w:ascii="Helvetica" w:hAnsi="Helvetica"/>
        </w:rPr>
        <w:t xml:space="preserve"> </w:t>
      </w:r>
      <w:r>
        <w:rPr>
          <w:rFonts w:ascii="Helvetica" w:hAnsi="Helvetica"/>
        </w:rPr>
        <w:t>should be</w:t>
      </w:r>
      <w:r w:rsidR="00DE0DE5">
        <w:rPr>
          <w:rFonts w:ascii="Helvetica" w:hAnsi="Helvetica"/>
        </w:rPr>
        <w:t xml:space="preserve"> developed to </w:t>
      </w:r>
      <w:r>
        <w:rPr>
          <w:rFonts w:ascii="Helvetica" w:hAnsi="Helvetica"/>
        </w:rPr>
        <w:t xml:space="preserve">that </w:t>
      </w:r>
      <w:r w:rsidR="00DE0DE5">
        <w:rPr>
          <w:rFonts w:ascii="Helvetica" w:hAnsi="Helvetica"/>
        </w:rPr>
        <w:t>include</w:t>
      </w:r>
      <w:r>
        <w:rPr>
          <w:rFonts w:ascii="Helvetica" w:hAnsi="Helvetica"/>
        </w:rPr>
        <w:t>s</w:t>
      </w:r>
      <w:r w:rsidR="00DE0DE5">
        <w:rPr>
          <w:rFonts w:ascii="Helvetica" w:hAnsi="Helvetica"/>
        </w:rPr>
        <w:t xml:space="preserve"> its evaluation</w:t>
      </w:r>
      <w:r w:rsidR="00DD379E">
        <w:rPr>
          <w:rFonts w:ascii="Helvetica" w:hAnsi="Helvetica"/>
        </w:rPr>
        <w:t>, along with</w:t>
      </w:r>
      <w:r>
        <w:rPr>
          <w:rFonts w:ascii="Helvetica" w:hAnsi="Helvetica"/>
        </w:rPr>
        <w:t xml:space="preserve"> uncertain ass</w:t>
      </w:r>
      <w:r w:rsidR="00F7526D">
        <w:rPr>
          <w:rFonts w:ascii="Helvetica" w:hAnsi="Helvetica"/>
        </w:rPr>
        <w:t>umptions used in the PFC design to avoid delays in reaching high power operation post-Recovery.</w:t>
      </w:r>
    </w:p>
    <w:p w:rsidR="00DD379E" w:rsidRPr="00DD379E" w:rsidRDefault="00DD379E" w:rsidP="00DD379E">
      <w:pPr>
        <w:pStyle w:val="ListParagraph"/>
        <w:rPr>
          <w:rFonts w:ascii="Helvetica" w:hAnsi="Helvetica"/>
        </w:rPr>
      </w:pPr>
    </w:p>
    <w:p w:rsidR="00DD379E" w:rsidRPr="00801822" w:rsidRDefault="00DD379E" w:rsidP="00801822">
      <w:pPr>
        <w:pStyle w:val="ListParagraph"/>
        <w:numPr>
          <w:ilvl w:val="0"/>
          <w:numId w:val="13"/>
        </w:numPr>
        <w:jc w:val="both"/>
        <w:rPr>
          <w:rFonts w:ascii="Helvetica" w:hAnsi="Helvetica"/>
        </w:rPr>
      </w:pPr>
      <w:r>
        <w:rPr>
          <w:rFonts w:ascii="Helvetica" w:hAnsi="Helvetica"/>
        </w:rPr>
        <w:t xml:space="preserve">To assist in this process, PFC designs that are shown to be temperature limited should also </w:t>
      </w:r>
      <w:r w:rsidR="009D4991">
        <w:rPr>
          <w:rFonts w:ascii="Helvetica" w:hAnsi="Helvetica"/>
        </w:rPr>
        <w:t>provide as part of the design verification process (ENG-033)</w:t>
      </w:r>
      <w:r>
        <w:rPr>
          <w:rFonts w:ascii="Helvetica" w:hAnsi="Helvetica"/>
        </w:rPr>
        <w:t xml:space="preserve"> the heat flux and surface temperature for which they become stress limited.</w:t>
      </w:r>
    </w:p>
    <w:p w:rsidR="00206A9E" w:rsidRDefault="00206A9E" w:rsidP="00464877">
      <w:pPr>
        <w:jc w:val="both"/>
        <w:rPr>
          <w:rFonts w:ascii="Helvetica" w:hAnsi="Helvetica"/>
        </w:rPr>
      </w:pPr>
    </w:p>
    <w:p w:rsidR="00801822" w:rsidRDefault="00801822" w:rsidP="00464877">
      <w:pPr>
        <w:jc w:val="both"/>
        <w:rPr>
          <w:rFonts w:ascii="Helvetica" w:hAnsi="Helvetica"/>
          <w:i/>
          <w:u w:val="single"/>
        </w:rPr>
      </w:pPr>
      <w:r>
        <w:rPr>
          <w:rFonts w:ascii="Helvetica" w:hAnsi="Helvetica"/>
          <w:i/>
          <w:u w:val="single"/>
        </w:rPr>
        <w:t>Findings</w:t>
      </w:r>
    </w:p>
    <w:p w:rsidR="00004BEE" w:rsidRDefault="00004BEE" w:rsidP="00464877">
      <w:pPr>
        <w:jc w:val="both"/>
        <w:rPr>
          <w:rFonts w:ascii="Helvetica" w:hAnsi="Helvetica"/>
          <w:i/>
          <w:u w:val="single"/>
        </w:rPr>
      </w:pPr>
    </w:p>
    <w:p w:rsidR="006072C9" w:rsidRDefault="00924DDD" w:rsidP="006072C9">
      <w:pPr>
        <w:pStyle w:val="ListParagraph"/>
        <w:numPr>
          <w:ilvl w:val="0"/>
          <w:numId w:val="12"/>
        </w:numPr>
        <w:jc w:val="both"/>
        <w:rPr>
          <w:rFonts w:ascii="Helvetica" w:hAnsi="Helvetica"/>
        </w:rPr>
      </w:pPr>
      <w:r>
        <w:rPr>
          <w:rFonts w:ascii="Helvetica" w:hAnsi="Helvetica"/>
        </w:rPr>
        <w:t>Defining</w:t>
      </w:r>
      <w:r w:rsidR="00801822" w:rsidRPr="00801822">
        <w:rPr>
          <w:rFonts w:ascii="Helvetica" w:hAnsi="Helvetica"/>
        </w:rPr>
        <w:t xml:space="preserve"> heat flux requirements based on coil </w:t>
      </w:r>
      <w:r w:rsidR="00801822">
        <w:rPr>
          <w:rFonts w:ascii="Helvetica" w:hAnsi="Helvetica"/>
        </w:rPr>
        <w:t>alignment</w:t>
      </w:r>
      <w:r w:rsidR="00801822" w:rsidRPr="00801822">
        <w:rPr>
          <w:rFonts w:ascii="Helvetica" w:hAnsi="Helvetica"/>
        </w:rPr>
        <w:t xml:space="preserve"> pre-assumes a design and decouples from </w:t>
      </w:r>
      <w:r w:rsidR="00801822">
        <w:rPr>
          <w:rFonts w:ascii="Helvetica" w:hAnsi="Helvetica"/>
        </w:rPr>
        <w:t xml:space="preserve">PFC requirements from </w:t>
      </w:r>
      <w:r w:rsidR="00801822" w:rsidRPr="00801822">
        <w:rPr>
          <w:rFonts w:ascii="Helvetica" w:hAnsi="Helvetica"/>
        </w:rPr>
        <w:t>physics needs</w:t>
      </w:r>
      <w:r w:rsidR="00004BEE">
        <w:rPr>
          <w:rFonts w:ascii="Helvetica" w:hAnsi="Helvetica"/>
        </w:rPr>
        <w:t>.</w:t>
      </w:r>
    </w:p>
    <w:p w:rsidR="00004BEE" w:rsidRPr="006072C9" w:rsidRDefault="00004BEE" w:rsidP="00004BEE">
      <w:pPr>
        <w:pStyle w:val="ListParagraph"/>
        <w:jc w:val="both"/>
        <w:rPr>
          <w:rFonts w:ascii="Helvetica" w:hAnsi="Helvetica"/>
        </w:rPr>
      </w:pPr>
    </w:p>
    <w:p w:rsidR="00801822" w:rsidRDefault="00004BEE" w:rsidP="00801822">
      <w:pPr>
        <w:pStyle w:val="ListParagraph"/>
        <w:numPr>
          <w:ilvl w:val="0"/>
          <w:numId w:val="12"/>
        </w:numPr>
        <w:jc w:val="both"/>
        <w:rPr>
          <w:rFonts w:ascii="Helvetica" w:hAnsi="Helvetica"/>
        </w:rPr>
      </w:pPr>
      <w:r>
        <w:rPr>
          <w:rFonts w:ascii="Helvetica" w:hAnsi="Helvetica"/>
        </w:rPr>
        <w:t>Present methods to define</w:t>
      </w:r>
      <w:r w:rsidR="00801822" w:rsidRPr="00801822">
        <w:rPr>
          <w:rFonts w:ascii="Helvetica" w:hAnsi="Helvetica"/>
        </w:rPr>
        <w:t xml:space="preserve"> requirements for PFCs to support non-axisymmetric heat flux</w:t>
      </w:r>
      <w:r w:rsidR="006072C9">
        <w:rPr>
          <w:rFonts w:ascii="Helvetica" w:hAnsi="Helvetica"/>
        </w:rPr>
        <w:t xml:space="preserve"> d</w:t>
      </w:r>
      <w:r w:rsidR="00801822" w:rsidRPr="00801822">
        <w:rPr>
          <w:rFonts w:ascii="Helvetica" w:hAnsi="Helvetica"/>
        </w:rPr>
        <w:t xml:space="preserve">o not accurately </w:t>
      </w:r>
      <w:r w:rsidR="006072C9">
        <w:rPr>
          <w:rFonts w:ascii="Helvetica" w:hAnsi="Helvetica"/>
        </w:rPr>
        <w:t>specify</w:t>
      </w:r>
      <w:r w:rsidR="00801822" w:rsidRPr="00801822">
        <w:rPr>
          <w:rFonts w:ascii="Helvetica" w:hAnsi="Helvetica"/>
        </w:rPr>
        <w:t xml:space="preserve"> the expected conditions.  </w:t>
      </w:r>
    </w:p>
    <w:p w:rsidR="00004BEE" w:rsidRPr="00004BEE" w:rsidRDefault="00004BEE" w:rsidP="00004BEE">
      <w:pPr>
        <w:jc w:val="both"/>
        <w:rPr>
          <w:rFonts w:ascii="Helvetica" w:hAnsi="Helvetica"/>
        </w:rPr>
      </w:pPr>
    </w:p>
    <w:p w:rsidR="00801822" w:rsidRDefault="00F3673B" w:rsidP="00F3673B">
      <w:pPr>
        <w:pStyle w:val="ListParagraph"/>
        <w:numPr>
          <w:ilvl w:val="0"/>
          <w:numId w:val="12"/>
        </w:numPr>
        <w:jc w:val="both"/>
        <w:rPr>
          <w:rFonts w:ascii="Helvetica" w:hAnsi="Helvetica"/>
        </w:rPr>
      </w:pPr>
      <w:r w:rsidRPr="00F3673B">
        <w:rPr>
          <w:rFonts w:ascii="Helvetica" w:hAnsi="Helvetica"/>
        </w:rPr>
        <w:t>If tiles are temperature limited, lowering the axisymmetric heat flux requirement is overly conservative if done to correct for non-axisymmetric PFC heat flux.</w:t>
      </w:r>
    </w:p>
    <w:p w:rsidR="00004BEE" w:rsidRPr="00004BEE" w:rsidRDefault="00004BEE" w:rsidP="00004BEE">
      <w:pPr>
        <w:jc w:val="both"/>
        <w:rPr>
          <w:rFonts w:ascii="Helvetica" w:hAnsi="Helvetica"/>
        </w:rPr>
      </w:pPr>
    </w:p>
    <w:p w:rsidR="00801822" w:rsidRPr="00801822" w:rsidRDefault="005C50D4" w:rsidP="00801822">
      <w:pPr>
        <w:pStyle w:val="ListParagraph"/>
        <w:numPr>
          <w:ilvl w:val="0"/>
          <w:numId w:val="12"/>
        </w:numPr>
        <w:jc w:val="both"/>
        <w:rPr>
          <w:rFonts w:ascii="Helvetica" w:hAnsi="Helvetica"/>
        </w:rPr>
      </w:pPr>
      <w:r>
        <w:rPr>
          <w:rFonts w:ascii="Helvetica" w:hAnsi="Helvetica"/>
        </w:rPr>
        <w:t>The</w:t>
      </w:r>
      <w:r w:rsidR="00801822" w:rsidRPr="00801822">
        <w:rPr>
          <w:rFonts w:ascii="Helvetica" w:hAnsi="Helvetica"/>
        </w:rPr>
        <w:t xml:space="preserve"> impact </w:t>
      </w:r>
      <w:r>
        <w:rPr>
          <w:rFonts w:ascii="Helvetica" w:hAnsi="Helvetica"/>
        </w:rPr>
        <w:t>of heat flux enhancements from coil misalignments</w:t>
      </w:r>
      <w:r w:rsidR="00801822" w:rsidRPr="00801822">
        <w:rPr>
          <w:rFonts w:ascii="Helvetica" w:hAnsi="Helvetica"/>
        </w:rPr>
        <w:t xml:space="preserve"> </w:t>
      </w:r>
      <w:proofErr w:type="gramStart"/>
      <w:r w:rsidR="00801822" w:rsidRPr="00801822">
        <w:rPr>
          <w:rFonts w:ascii="Helvetica" w:hAnsi="Helvetica"/>
        </w:rPr>
        <w:t>be</w:t>
      </w:r>
      <w:proofErr w:type="gramEnd"/>
      <w:r w:rsidR="00801822" w:rsidRPr="00801822">
        <w:rPr>
          <w:rFonts w:ascii="Helvetica" w:hAnsi="Helvetica"/>
        </w:rPr>
        <w:t xml:space="preserve"> </w:t>
      </w:r>
      <w:r w:rsidR="00004BEE">
        <w:rPr>
          <w:rFonts w:ascii="Helvetica" w:hAnsi="Helvetica"/>
        </w:rPr>
        <w:t>accounted</w:t>
      </w:r>
      <w:r w:rsidR="00801822" w:rsidRPr="00801822">
        <w:rPr>
          <w:rFonts w:ascii="Helvetica" w:hAnsi="Helvetica"/>
        </w:rPr>
        <w:t xml:space="preserve"> for when evaluating PFCs during </w:t>
      </w:r>
      <w:r w:rsidR="00004BEE">
        <w:rPr>
          <w:rFonts w:ascii="Helvetica" w:hAnsi="Helvetica"/>
        </w:rPr>
        <w:t>initial, low power plasma operation</w:t>
      </w:r>
      <w:r w:rsidR="00801822" w:rsidRPr="00801822">
        <w:rPr>
          <w:rFonts w:ascii="Helvetica" w:hAnsi="Helvetica"/>
        </w:rPr>
        <w:t>.</w:t>
      </w:r>
    </w:p>
    <w:p w:rsidR="00801822" w:rsidRDefault="00801822" w:rsidP="00464877">
      <w:pPr>
        <w:jc w:val="both"/>
        <w:rPr>
          <w:rFonts w:ascii="Helvetica" w:hAnsi="Helvetica"/>
          <w:u w:val="single"/>
        </w:rPr>
      </w:pPr>
    </w:p>
    <w:p w:rsidR="00206A9E" w:rsidRPr="00004BEE" w:rsidRDefault="00206A9E" w:rsidP="00464877">
      <w:pPr>
        <w:jc w:val="both"/>
        <w:rPr>
          <w:rFonts w:ascii="Helvetica" w:hAnsi="Helvetica"/>
          <w:i/>
          <w:u w:val="single"/>
        </w:rPr>
      </w:pPr>
      <w:r w:rsidRPr="00004BEE">
        <w:rPr>
          <w:rFonts w:ascii="Helvetica" w:hAnsi="Helvetica"/>
          <w:i/>
          <w:u w:val="single"/>
        </w:rPr>
        <w:t>Supporting Comments</w:t>
      </w:r>
    </w:p>
    <w:p w:rsidR="00EF7FBF" w:rsidRDefault="00EF7FBF" w:rsidP="00464877">
      <w:pPr>
        <w:jc w:val="both"/>
        <w:rPr>
          <w:rFonts w:ascii="Helvetica" w:hAnsi="Helvetica"/>
        </w:rPr>
      </w:pPr>
      <w:r>
        <w:rPr>
          <w:rFonts w:ascii="Helvetica" w:hAnsi="Helvetica"/>
        </w:rPr>
        <w:t xml:space="preserve">The purpose of the </w:t>
      </w:r>
      <w:r w:rsidR="006072C9">
        <w:rPr>
          <w:rFonts w:ascii="Helvetica" w:hAnsi="Helvetica"/>
        </w:rPr>
        <w:t>System Requirements Document</w:t>
      </w:r>
      <w:r>
        <w:rPr>
          <w:rFonts w:ascii="Helvetica" w:hAnsi="Helvetica"/>
        </w:rPr>
        <w:t>, per ENG-050, is to “contain the engineering requirements that must be met for the system to function in accordance with the GRD</w:t>
      </w:r>
      <w:r w:rsidR="006072C9">
        <w:rPr>
          <w:rFonts w:ascii="Helvetica" w:hAnsi="Helvetica"/>
        </w:rPr>
        <w:t xml:space="preserve"> [General Requirements Document]</w:t>
      </w:r>
      <w:r>
        <w:rPr>
          <w:rFonts w:ascii="Helvetica" w:hAnsi="Helvetica"/>
        </w:rPr>
        <w:t>”</w:t>
      </w:r>
      <w:r w:rsidR="0069232A">
        <w:rPr>
          <w:rFonts w:ascii="Helvetica" w:hAnsi="Helvetica"/>
        </w:rPr>
        <w:t xml:space="preserve">, the latter of which has performance criteria </w:t>
      </w:r>
      <w:r w:rsidR="006072C9">
        <w:rPr>
          <w:rFonts w:ascii="Helvetica" w:hAnsi="Helvetica"/>
        </w:rPr>
        <w:t xml:space="preserve">for PFCs </w:t>
      </w:r>
      <w:r w:rsidR="0069232A">
        <w:rPr>
          <w:rFonts w:ascii="Helvetica" w:hAnsi="Helvetica"/>
        </w:rPr>
        <w:t>(6.1.1.1.1) that the tiles absorb the exhausted power and ‘minimize the influx of impurities into the plasma’.</w:t>
      </w:r>
    </w:p>
    <w:p w:rsidR="006072C9" w:rsidRDefault="006072C9" w:rsidP="00464877">
      <w:pPr>
        <w:jc w:val="both"/>
        <w:rPr>
          <w:rFonts w:ascii="Helvetica" w:hAnsi="Helvetica"/>
        </w:rPr>
      </w:pPr>
      <w:bookmarkStart w:id="0" w:name="_GoBack"/>
      <w:bookmarkEnd w:id="0"/>
    </w:p>
    <w:p w:rsidR="006072C9" w:rsidRDefault="006072C9" w:rsidP="006072C9">
      <w:pPr>
        <w:jc w:val="both"/>
        <w:rPr>
          <w:rFonts w:ascii="Helvetica" w:hAnsi="Helvetica"/>
        </w:rPr>
      </w:pPr>
      <w:r>
        <w:rPr>
          <w:rFonts w:ascii="Helvetica" w:hAnsi="Helvetica"/>
        </w:rPr>
        <w:lastRenderedPageBreak/>
        <w:t xml:space="preserve">The present </w:t>
      </w:r>
      <w:r w:rsidR="00ED2327">
        <w:rPr>
          <w:rFonts w:ascii="Helvetica" w:hAnsi="Helvetica"/>
        </w:rPr>
        <w:t>version</w:t>
      </w:r>
      <w:r>
        <w:rPr>
          <w:rFonts w:ascii="Helvetica" w:hAnsi="Helvetica"/>
        </w:rPr>
        <w:t xml:space="preserve"> of NSTX-U-DOC-101 outlines the physics basis for Magnet Alignment Requirements, captured in NSTX-U-RQMT-RD-011, and proposes reduced heat fluxes to be included in a revision of NSTX-U-</w:t>
      </w:r>
      <w:r w:rsidR="00DD379E">
        <w:rPr>
          <w:rFonts w:ascii="Helvetica" w:hAnsi="Helvetica"/>
        </w:rPr>
        <w:t>RQMT-SRD-003:</w:t>
      </w:r>
    </w:p>
    <w:p w:rsidR="006072C9" w:rsidRDefault="006072C9" w:rsidP="00004BEE">
      <w:pPr>
        <w:pStyle w:val="ListParagraph"/>
        <w:numPr>
          <w:ilvl w:val="0"/>
          <w:numId w:val="14"/>
        </w:numPr>
        <w:spacing w:line="276" w:lineRule="auto"/>
        <w:jc w:val="both"/>
        <w:rPr>
          <w:rFonts w:ascii="Helvetica" w:hAnsi="Helvetica"/>
        </w:rPr>
      </w:pPr>
      <w:r>
        <w:rPr>
          <w:rFonts w:ascii="Helvetica" w:hAnsi="Helvetica"/>
        </w:rPr>
        <w:t>The CASE#1 IBDH heat flux be reduced from 7.0 MW/m</w:t>
      </w:r>
      <w:r w:rsidRPr="00924DDD">
        <w:rPr>
          <w:rFonts w:ascii="Helvetica" w:hAnsi="Helvetica"/>
          <w:vertAlign w:val="superscript"/>
        </w:rPr>
        <w:t>2</w:t>
      </w:r>
      <w:r>
        <w:rPr>
          <w:rFonts w:ascii="Helvetica" w:hAnsi="Helvetica"/>
        </w:rPr>
        <w:t xml:space="preserve"> to 6.5 MW/</w:t>
      </w:r>
      <w:r w:rsidR="00924DDD">
        <w:rPr>
          <w:rFonts w:ascii="Helvetica" w:hAnsi="Helvetica"/>
        </w:rPr>
        <w:t>m</w:t>
      </w:r>
      <w:r w:rsidR="00924DDD" w:rsidRPr="00924DDD">
        <w:rPr>
          <w:rFonts w:ascii="Helvetica" w:hAnsi="Helvetica"/>
          <w:vertAlign w:val="superscript"/>
        </w:rPr>
        <w:t>2</w:t>
      </w:r>
    </w:p>
    <w:p w:rsidR="00924DDD" w:rsidRPr="00924DDD" w:rsidRDefault="00924DDD" w:rsidP="00004BEE">
      <w:pPr>
        <w:pStyle w:val="ListParagraph"/>
        <w:numPr>
          <w:ilvl w:val="0"/>
          <w:numId w:val="14"/>
        </w:numPr>
        <w:spacing w:line="276" w:lineRule="auto"/>
        <w:jc w:val="both"/>
        <w:rPr>
          <w:rFonts w:ascii="Helvetica" w:hAnsi="Helvetica"/>
        </w:rPr>
      </w:pPr>
      <w:r>
        <w:rPr>
          <w:rFonts w:ascii="Helvetica" w:hAnsi="Helvetica"/>
        </w:rPr>
        <w:t>The CASE#1 OBDR1/R2 heat flux be reduced from 6.0 MW/m</w:t>
      </w:r>
      <w:r w:rsidRPr="00924DDD">
        <w:rPr>
          <w:rFonts w:ascii="Helvetica" w:hAnsi="Helvetica"/>
          <w:vertAlign w:val="superscript"/>
        </w:rPr>
        <w:t>2</w:t>
      </w:r>
      <w:r>
        <w:rPr>
          <w:rFonts w:ascii="Helvetica" w:hAnsi="Helvetica"/>
        </w:rPr>
        <w:t xml:space="preserve"> to 5.4 MW/m</w:t>
      </w:r>
      <w:r w:rsidRPr="00924DDD">
        <w:rPr>
          <w:rFonts w:ascii="Helvetica" w:hAnsi="Helvetica"/>
          <w:vertAlign w:val="superscript"/>
        </w:rPr>
        <w:t>2</w:t>
      </w:r>
    </w:p>
    <w:p w:rsidR="00ED2327" w:rsidRDefault="00924DDD" w:rsidP="00924DDD">
      <w:pPr>
        <w:jc w:val="both"/>
        <w:rPr>
          <w:rFonts w:ascii="Helvetica" w:hAnsi="Helvetica"/>
        </w:rPr>
      </w:pPr>
      <w:r>
        <w:rPr>
          <w:rFonts w:ascii="Helvetica" w:hAnsi="Helvetica"/>
        </w:rPr>
        <w:t>These changes are b</w:t>
      </w:r>
      <w:r w:rsidR="00FC483F">
        <w:rPr>
          <w:rFonts w:ascii="Helvetica" w:hAnsi="Helvetica"/>
        </w:rPr>
        <w:t>ased on accommodating the estimated enhancement to the heat flux only adding non-axisymm</w:t>
      </w:r>
      <w:r w:rsidR="00004BEE">
        <w:rPr>
          <w:rFonts w:ascii="Helvetica" w:hAnsi="Helvetica"/>
        </w:rPr>
        <w:t>e</w:t>
      </w:r>
      <w:r w:rsidR="00FC483F">
        <w:rPr>
          <w:rFonts w:ascii="Helvetica" w:hAnsi="Helvetica"/>
        </w:rPr>
        <w:t xml:space="preserve">tric PFC features, e.g. </w:t>
      </w:r>
      <w:proofErr w:type="spellStart"/>
      <w:r w:rsidR="00FC483F">
        <w:rPr>
          <w:rFonts w:ascii="Helvetica" w:hAnsi="Helvetica"/>
        </w:rPr>
        <w:t>fishscaling</w:t>
      </w:r>
      <w:proofErr w:type="spellEnd"/>
      <w:r w:rsidR="00FC483F">
        <w:rPr>
          <w:rFonts w:ascii="Helvetica" w:hAnsi="Helvetica"/>
        </w:rPr>
        <w:t xml:space="preserve">, and </w:t>
      </w:r>
      <w:r w:rsidR="00FC483F" w:rsidRPr="00004BEE">
        <w:rPr>
          <w:rFonts w:ascii="Helvetica" w:hAnsi="Helvetica"/>
          <w:i/>
          <w:u w:val="single"/>
        </w:rPr>
        <w:t>not</w:t>
      </w:r>
      <w:r w:rsidR="00FC483F">
        <w:rPr>
          <w:rFonts w:ascii="Helvetica" w:hAnsi="Helvetica"/>
        </w:rPr>
        <w:t xml:space="preserve"> the impact of non-axisymmetric plasma.</w:t>
      </w:r>
      <w:r w:rsidR="00DD379E">
        <w:rPr>
          <w:rFonts w:ascii="Helvetica" w:hAnsi="Helvetica"/>
        </w:rPr>
        <w:t xml:space="preserve">  NSTX-U-DOC-101 illustrates that for specified coil tolerances, the axisymmetric heat flux would have be further reduced, for example </w:t>
      </w:r>
      <w:r w:rsidR="00ED2327">
        <w:rPr>
          <w:rFonts w:ascii="Helvetica" w:hAnsi="Helvetica"/>
        </w:rPr>
        <w:t>to 5.5-5.8 MW/m</w:t>
      </w:r>
      <w:r w:rsidR="00ED2327" w:rsidRPr="00ED2327">
        <w:rPr>
          <w:rFonts w:ascii="Helvetica" w:hAnsi="Helvetica"/>
          <w:vertAlign w:val="superscript"/>
        </w:rPr>
        <w:t>2</w:t>
      </w:r>
      <w:r w:rsidR="00ED2327">
        <w:rPr>
          <w:rFonts w:ascii="Helvetica" w:hAnsi="Helvetica"/>
        </w:rPr>
        <w:t xml:space="preserve"> for IBDH depending on the chosen alignment.  </w:t>
      </w:r>
    </w:p>
    <w:p w:rsidR="00ED2327" w:rsidRDefault="00ED2327" w:rsidP="00924DDD">
      <w:pPr>
        <w:jc w:val="both"/>
        <w:rPr>
          <w:rFonts w:ascii="Helvetica" w:hAnsi="Helvetica"/>
        </w:rPr>
      </w:pPr>
    </w:p>
    <w:p w:rsidR="00924DDD" w:rsidRPr="00924DDD" w:rsidRDefault="00ED2327" w:rsidP="00924DDD">
      <w:pPr>
        <w:jc w:val="both"/>
        <w:rPr>
          <w:rFonts w:ascii="Helvetica" w:hAnsi="Helvetica"/>
        </w:rPr>
      </w:pPr>
      <w:r>
        <w:rPr>
          <w:rFonts w:ascii="Helvetica" w:hAnsi="Helvetica"/>
        </w:rPr>
        <w:t xml:space="preserve">This MEMO outlines a rational to </w:t>
      </w:r>
      <w:r w:rsidR="00004BEE">
        <w:rPr>
          <w:rFonts w:ascii="Helvetica" w:hAnsi="Helvetica"/>
        </w:rPr>
        <w:t>support</w:t>
      </w:r>
      <w:r>
        <w:rPr>
          <w:rFonts w:ascii="Helvetica" w:hAnsi="Helvetica"/>
        </w:rPr>
        <w:t xml:space="preserve"> that decision, effectively decoupling the PFC requirements that drive the tile design from the coil alignment.</w:t>
      </w:r>
      <w:r w:rsidR="00E11D80">
        <w:rPr>
          <w:rFonts w:ascii="Helvetica" w:hAnsi="Helvetica"/>
        </w:rPr>
        <w:t xml:space="preserve">  While this appears to be a step backward in system integration, the four findings delivered here demonstrate that modifications to the PFC requirements are not the ideal way to capture the impact of possible coil misalignments on the </w:t>
      </w:r>
      <w:proofErr w:type="spellStart"/>
      <w:r w:rsidR="00E11D80">
        <w:rPr>
          <w:rFonts w:ascii="Helvetica" w:hAnsi="Helvetica"/>
        </w:rPr>
        <w:t>PFCs.</w:t>
      </w:r>
      <w:proofErr w:type="spellEnd"/>
      <w:r>
        <w:rPr>
          <w:rFonts w:ascii="Helvetica" w:hAnsi="Helvetica"/>
        </w:rPr>
        <w:t xml:space="preserve">  Ultimately </w:t>
      </w:r>
      <w:proofErr w:type="gramStart"/>
      <w:r>
        <w:rPr>
          <w:rFonts w:ascii="Helvetica" w:hAnsi="Helvetica"/>
        </w:rPr>
        <w:t xml:space="preserve">the </w:t>
      </w:r>
      <w:r w:rsidR="00E11D80">
        <w:rPr>
          <w:rFonts w:ascii="Helvetica" w:hAnsi="Helvetica"/>
        </w:rPr>
        <w:t>it</w:t>
      </w:r>
      <w:proofErr w:type="gramEnd"/>
      <w:r>
        <w:rPr>
          <w:rFonts w:ascii="Helvetica" w:hAnsi="Helvetica"/>
        </w:rPr>
        <w:t xml:space="preserve"> will play a role in setting operational limits of NSTX-U</w:t>
      </w:r>
      <w:r w:rsidR="00004BEE">
        <w:rPr>
          <w:rFonts w:ascii="Helvetica" w:hAnsi="Helvetica"/>
        </w:rPr>
        <w:t xml:space="preserve"> as coil </w:t>
      </w:r>
      <w:proofErr w:type="spellStart"/>
      <w:r w:rsidR="00004BEE">
        <w:rPr>
          <w:rFonts w:ascii="Helvetica" w:hAnsi="Helvetica"/>
        </w:rPr>
        <w:t>mis</w:t>
      </w:r>
      <w:proofErr w:type="spellEnd"/>
      <w:r w:rsidR="00004BEE">
        <w:rPr>
          <w:rFonts w:ascii="Helvetica" w:hAnsi="Helvetica"/>
        </w:rPr>
        <w:t>-alignments indeed can locally increase heat flux, as discussed in NSTX-U-DOC-101</w:t>
      </w:r>
      <w:r>
        <w:rPr>
          <w:rFonts w:ascii="Helvetica" w:hAnsi="Helvetica"/>
        </w:rPr>
        <w:t xml:space="preserve">.  </w:t>
      </w:r>
      <w:r w:rsidR="00004BEE">
        <w:rPr>
          <w:rFonts w:ascii="Helvetica" w:hAnsi="Helvetica"/>
        </w:rPr>
        <w:t>But, i</w:t>
      </w:r>
      <w:r>
        <w:rPr>
          <w:rFonts w:ascii="Helvetica" w:hAnsi="Helvetica"/>
        </w:rPr>
        <w:t xml:space="preserve">t is important to remember that NSTX-U can generate heat fluxes and impact angles beyond those documented in the requirements, and presently there is no system in place ensure NSTX-U operation is operated within limits </w:t>
      </w:r>
      <w:r w:rsidR="00004BEE">
        <w:rPr>
          <w:rFonts w:ascii="Helvetica" w:hAnsi="Helvetica"/>
        </w:rPr>
        <w:t xml:space="preserve">set by </w:t>
      </w:r>
      <w:r>
        <w:rPr>
          <w:rFonts w:ascii="Helvetica" w:hAnsi="Helvetica"/>
        </w:rPr>
        <w:t xml:space="preserve">PFC </w:t>
      </w:r>
      <w:r w:rsidR="00004BEE">
        <w:rPr>
          <w:rFonts w:ascii="Helvetica" w:hAnsi="Helvetica"/>
        </w:rPr>
        <w:t>System Requirements Document, which call on the NSTX-U structural design criteria</w:t>
      </w:r>
      <w:r>
        <w:rPr>
          <w:rFonts w:ascii="Helvetica" w:hAnsi="Helvetica"/>
        </w:rPr>
        <w:t>.</w:t>
      </w:r>
      <w:r w:rsidR="00004BEE">
        <w:rPr>
          <w:rFonts w:ascii="Helvetica" w:hAnsi="Helvetica"/>
        </w:rPr>
        <w:t xml:space="preserve">  Thus, the</w:t>
      </w:r>
      <w:r w:rsidR="00E11D80">
        <w:rPr>
          <w:rFonts w:ascii="Helvetica" w:hAnsi="Helvetica"/>
        </w:rPr>
        <w:t>re</w:t>
      </w:r>
      <w:r w:rsidR="00004BEE">
        <w:rPr>
          <w:rFonts w:ascii="Helvetica" w:hAnsi="Helvetica"/>
        </w:rPr>
        <w:t xml:space="preserve"> is a functional need for a future activity to validate assumptions made in the PFC design process during early plasma operations</w:t>
      </w:r>
      <w:r w:rsidR="00E11D80">
        <w:rPr>
          <w:rFonts w:ascii="Helvetica" w:hAnsi="Helvetica"/>
        </w:rPr>
        <w:t xml:space="preserve"> which can include the effect of the as-built TF and PF coils.</w:t>
      </w:r>
      <w:r w:rsidR="00004BEE">
        <w:rPr>
          <w:rFonts w:ascii="Helvetica" w:hAnsi="Helvetica"/>
        </w:rPr>
        <w:t xml:space="preserve"> </w:t>
      </w:r>
      <w:r w:rsidR="00FC483F">
        <w:rPr>
          <w:rFonts w:ascii="Helvetica" w:hAnsi="Helvetica"/>
        </w:rPr>
        <w:t xml:space="preserve">  </w:t>
      </w:r>
    </w:p>
    <w:p w:rsidR="00EF7FBF" w:rsidRDefault="00EF7FBF" w:rsidP="00464877">
      <w:pPr>
        <w:jc w:val="both"/>
        <w:rPr>
          <w:rFonts w:ascii="Helvetica" w:hAnsi="Helvetica"/>
        </w:rPr>
      </w:pPr>
    </w:p>
    <w:p w:rsidR="00004BEE" w:rsidRPr="00004BEE" w:rsidRDefault="00ED2327" w:rsidP="00004BEE">
      <w:pPr>
        <w:jc w:val="both"/>
        <w:rPr>
          <w:rFonts w:ascii="Helvetica" w:hAnsi="Helvetica"/>
          <w:b/>
        </w:rPr>
      </w:pPr>
      <w:r w:rsidRPr="00004BEE">
        <w:rPr>
          <w:rFonts w:ascii="Helvetica" w:hAnsi="Helvetica"/>
          <w:b/>
        </w:rPr>
        <w:t xml:space="preserve">F-1: </w:t>
      </w:r>
      <w:r w:rsidR="00004BEE" w:rsidRPr="00004BEE">
        <w:rPr>
          <w:rFonts w:ascii="Helvetica" w:hAnsi="Helvetica"/>
          <w:b/>
        </w:rPr>
        <w:t>Defining heat flux requirements based on coil alignment pre-assumes a design and decouples from PFC requirements from physics needs.</w:t>
      </w:r>
    </w:p>
    <w:p w:rsidR="00004BEE" w:rsidRDefault="00004BEE" w:rsidP="008A1DC3">
      <w:pPr>
        <w:jc w:val="both"/>
        <w:rPr>
          <w:rFonts w:ascii="Helvetica" w:hAnsi="Helvetica"/>
        </w:rPr>
      </w:pPr>
    </w:p>
    <w:p w:rsidR="008A1DC3" w:rsidRDefault="008A1DC3" w:rsidP="008A1DC3">
      <w:pPr>
        <w:jc w:val="both"/>
        <w:rPr>
          <w:rFonts w:ascii="Helvetica" w:hAnsi="Helvetica"/>
        </w:rPr>
      </w:pPr>
      <w:r>
        <w:rPr>
          <w:rFonts w:ascii="Helvetica" w:hAnsi="Helvetica"/>
        </w:rPr>
        <w:t xml:space="preserve">NSTX-U-DOC-101 outlines </w:t>
      </w:r>
      <w:r w:rsidR="00ED2327">
        <w:rPr>
          <w:rFonts w:ascii="Helvetica" w:hAnsi="Helvetica"/>
        </w:rPr>
        <w:t>how</w:t>
      </w:r>
      <w:r>
        <w:rPr>
          <w:rFonts w:ascii="Helvetica" w:hAnsi="Helvetica"/>
        </w:rPr>
        <w:t xml:space="preserve"> </w:t>
      </w:r>
      <w:r w:rsidR="00004BEE">
        <w:rPr>
          <w:rFonts w:ascii="Helvetica" w:hAnsi="Helvetica"/>
        </w:rPr>
        <w:t xml:space="preserve">PFC </w:t>
      </w:r>
      <w:r>
        <w:rPr>
          <w:rFonts w:ascii="Helvetica" w:hAnsi="Helvetica"/>
        </w:rPr>
        <w:t xml:space="preserve">requirements that </w:t>
      </w:r>
      <w:r w:rsidR="007F631E">
        <w:rPr>
          <w:rFonts w:ascii="Helvetica" w:hAnsi="Helvetica"/>
        </w:rPr>
        <w:t>account for 3D field from TF/PF coil misalignments</w:t>
      </w:r>
      <w:r>
        <w:rPr>
          <w:rFonts w:ascii="Helvetica" w:hAnsi="Helvetica"/>
        </w:rPr>
        <w:t xml:space="preserve"> </w:t>
      </w:r>
      <w:r w:rsidR="00ED2327">
        <w:rPr>
          <w:rFonts w:ascii="Helvetica" w:hAnsi="Helvetica"/>
        </w:rPr>
        <w:t>could be</w:t>
      </w:r>
      <w:r w:rsidR="007F631E">
        <w:rPr>
          <w:rFonts w:ascii="Helvetica" w:hAnsi="Helvetica"/>
        </w:rPr>
        <w:t xml:space="preserve"> derived.  F</w:t>
      </w:r>
      <w:r>
        <w:rPr>
          <w:rFonts w:ascii="Helvetica" w:hAnsi="Helvetica"/>
        </w:rPr>
        <w:t>rom an estimate</w:t>
      </w:r>
      <w:r w:rsidR="007F631E">
        <w:rPr>
          <w:rFonts w:ascii="Helvetica" w:hAnsi="Helvetica"/>
        </w:rPr>
        <w:t>d ultimate heat flux handling of</w:t>
      </w:r>
      <w:r>
        <w:rPr>
          <w:rFonts w:ascii="Helvetica" w:hAnsi="Helvetica"/>
        </w:rPr>
        <w:t xml:space="preserve"> 8 MW/m</w:t>
      </w:r>
      <w:r w:rsidRPr="008A1DC3">
        <w:rPr>
          <w:rFonts w:ascii="Helvetica" w:hAnsi="Helvetica"/>
          <w:vertAlign w:val="superscript"/>
        </w:rPr>
        <w:t>2</w:t>
      </w:r>
      <w:r>
        <w:rPr>
          <w:rFonts w:ascii="Helvetica" w:hAnsi="Helvetica"/>
        </w:rPr>
        <w:t xml:space="preserve"> applied </w:t>
      </w:r>
      <w:r w:rsidR="00A24A6C">
        <w:rPr>
          <w:rFonts w:ascii="Helvetica" w:hAnsi="Helvetica"/>
        </w:rPr>
        <w:t xml:space="preserve">uniformly to the </w:t>
      </w:r>
      <w:r>
        <w:rPr>
          <w:rFonts w:ascii="Helvetica" w:hAnsi="Helvetica"/>
        </w:rPr>
        <w:t xml:space="preserve">surface, </w:t>
      </w:r>
      <w:r w:rsidR="007F631E">
        <w:rPr>
          <w:rFonts w:ascii="Helvetica" w:hAnsi="Helvetica"/>
        </w:rPr>
        <w:t>there is a</w:t>
      </w:r>
      <w:r>
        <w:rPr>
          <w:rFonts w:ascii="Helvetica" w:hAnsi="Helvetica"/>
        </w:rPr>
        <w:t xml:space="preserve"> lower axisymmetric heat flux </w:t>
      </w:r>
      <w:r w:rsidR="007F631E">
        <w:rPr>
          <w:rFonts w:ascii="Helvetica" w:hAnsi="Helvetica"/>
        </w:rPr>
        <w:t xml:space="preserve">limit </w:t>
      </w:r>
      <w:r>
        <w:rPr>
          <w:rFonts w:ascii="Helvetica" w:hAnsi="Helvetica"/>
        </w:rPr>
        <w:t xml:space="preserve">in the presence of </w:t>
      </w:r>
      <w:proofErr w:type="spellStart"/>
      <w:r>
        <w:rPr>
          <w:rFonts w:ascii="Helvetica" w:hAnsi="Helvetica"/>
        </w:rPr>
        <w:t>fishscaled</w:t>
      </w:r>
      <w:proofErr w:type="spellEnd"/>
      <w:r>
        <w:rPr>
          <w:rFonts w:ascii="Helvetica" w:hAnsi="Helvetica"/>
        </w:rPr>
        <w:t xml:space="preserve"> tiles</w:t>
      </w:r>
      <w:r w:rsidR="00ED2327">
        <w:rPr>
          <w:rFonts w:ascii="Helvetica" w:hAnsi="Helvetica"/>
        </w:rPr>
        <w:t xml:space="preserve"> (6.5 MW/m</w:t>
      </w:r>
      <w:r w:rsidR="00ED2327" w:rsidRPr="00ED2327">
        <w:rPr>
          <w:rFonts w:ascii="Helvetica" w:hAnsi="Helvetica"/>
          <w:vertAlign w:val="superscript"/>
        </w:rPr>
        <w:t>2</w:t>
      </w:r>
      <w:r w:rsidR="00ED2327">
        <w:rPr>
          <w:rFonts w:ascii="Helvetica" w:hAnsi="Helvetica"/>
        </w:rPr>
        <w:t xml:space="preserve"> for IBDH)</w:t>
      </w:r>
      <w:r>
        <w:rPr>
          <w:rFonts w:ascii="Helvetica" w:hAnsi="Helvetica"/>
        </w:rPr>
        <w:t xml:space="preserve"> which has to be reduced even further if there are non-axisymmetric field effects</w:t>
      </w:r>
      <w:r w:rsidR="00ED2327">
        <w:rPr>
          <w:rFonts w:ascii="Helvetica" w:hAnsi="Helvetica"/>
        </w:rPr>
        <w:t xml:space="preserve"> (5.5 MW/m</w:t>
      </w:r>
      <w:r w:rsidR="00ED2327" w:rsidRPr="00ED2327">
        <w:rPr>
          <w:rFonts w:ascii="Helvetica" w:hAnsi="Helvetica"/>
          <w:vertAlign w:val="superscript"/>
        </w:rPr>
        <w:t>2</w:t>
      </w:r>
      <w:r w:rsidR="00ED2327">
        <w:rPr>
          <w:rFonts w:ascii="Helvetica" w:hAnsi="Helvetica"/>
        </w:rPr>
        <w:t xml:space="preserve"> for IBDH)</w:t>
      </w:r>
      <w:r>
        <w:rPr>
          <w:rFonts w:ascii="Helvetica" w:hAnsi="Helvetica"/>
        </w:rPr>
        <w:t xml:space="preserve">.  </w:t>
      </w:r>
      <w:r w:rsidR="005A5D07">
        <w:rPr>
          <w:rFonts w:ascii="Helvetica" w:hAnsi="Helvetica"/>
        </w:rPr>
        <w:t>The starting</w:t>
      </w:r>
      <w:r>
        <w:rPr>
          <w:rFonts w:ascii="Helvetica" w:hAnsi="Helvetica"/>
        </w:rPr>
        <w:t xml:space="preserve"> 8 MW/m</w:t>
      </w:r>
      <w:r w:rsidRPr="005A5D07">
        <w:rPr>
          <w:rFonts w:ascii="Helvetica" w:hAnsi="Helvetica"/>
          <w:vertAlign w:val="superscript"/>
        </w:rPr>
        <w:t>2</w:t>
      </w:r>
      <w:r>
        <w:rPr>
          <w:rFonts w:ascii="Helvetica" w:hAnsi="Helvetica"/>
        </w:rPr>
        <w:t xml:space="preserve"> is derived from a semi-infinite heat flux simulation</w:t>
      </w:r>
      <w:r w:rsidR="00ED2327">
        <w:rPr>
          <w:rFonts w:ascii="Helvetica" w:hAnsi="Helvetica"/>
        </w:rPr>
        <w:t>,</w:t>
      </w:r>
      <w:r>
        <w:rPr>
          <w:rFonts w:ascii="Helvetica" w:hAnsi="Helvetica"/>
        </w:rPr>
        <w:t xml:space="preserve"> assuming a particular set of graphite thermal properties reaching a specified critical temper</w:t>
      </w:r>
      <w:r w:rsidR="005A5D07">
        <w:rPr>
          <w:rFonts w:ascii="Helvetica" w:hAnsi="Helvetica"/>
        </w:rPr>
        <w:t>ature, in t</w:t>
      </w:r>
      <w:r w:rsidR="00ED2327">
        <w:rPr>
          <w:rFonts w:ascii="Helvetica" w:hAnsi="Helvetica"/>
        </w:rPr>
        <w:t xml:space="preserve">his case 1600 </w:t>
      </w:r>
      <w:proofErr w:type="spellStart"/>
      <w:r w:rsidR="00ED2327">
        <w:rPr>
          <w:rFonts w:ascii="Helvetica" w:hAnsi="Helvetica"/>
        </w:rPr>
        <w:t>degC</w:t>
      </w:r>
      <w:proofErr w:type="spellEnd"/>
      <w:r w:rsidR="00ED2327">
        <w:rPr>
          <w:rFonts w:ascii="Helvetica" w:hAnsi="Helvetica"/>
        </w:rPr>
        <w:t>.  It assumes</w:t>
      </w:r>
      <w:r w:rsidR="005A5D07">
        <w:rPr>
          <w:rFonts w:ascii="Helvetica" w:hAnsi="Helvetica"/>
        </w:rPr>
        <w:t xml:space="preserve"> that tiles </w:t>
      </w:r>
      <w:r w:rsidR="007F631E">
        <w:rPr>
          <w:rFonts w:ascii="Helvetica" w:hAnsi="Helvetica"/>
        </w:rPr>
        <w:t>are</w:t>
      </w:r>
      <w:r w:rsidR="005A5D07">
        <w:rPr>
          <w:rFonts w:ascii="Helvetica" w:hAnsi="Helvetica"/>
        </w:rPr>
        <w:t xml:space="preserve"> designed to be temperature limited instead of stress-limited. </w:t>
      </w:r>
      <w:r w:rsidR="00ED2327">
        <w:rPr>
          <w:rFonts w:ascii="Helvetica" w:hAnsi="Helvetica"/>
        </w:rPr>
        <w:t xml:space="preserve"> If the </w:t>
      </w:r>
      <w:r w:rsidR="00221B2C">
        <w:rPr>
          <w:rFonts w:ascii="Helvetica" w:hAnsi="Helvetica"/>
        </w:rPr>
        <w:t xml:space="preserve">temperature limit or </w:t>
      </w:r>
      <w:r w:rsidR="00ED2327">
        <w:rPr>
          <w:rFonts w:ascii="Helvetica" w:hAnsi="Helvetica"/>
        </w:rPr>
        <w:t>material were to change</w:t>
      </w:r>
      <w:r w:rsidR="00221B2C">
        <w:rPr>
          <w:rFonts w:ascii="Helvetica" w:hAnsi="Helvetica"/>
        </w:rPr>
        <w:t xml:space="preserve">, or the </w:t>
      </w:r>
      <w:r w:rsidR="00ED2327">
        <w:rPr>
          <w:rFonts w:ascii="Helvetica" w:hAnsi="Helvetica"/>
        </w:rPr>
        <w:t xml:space="preserve">tile </w:t>
      </w:r>
      <w:r w:rsidR="005A5D07">
        <w:rPr>
          <w:rFonts w:ascii="Helvetica" w:hAnsi="Helvetica"/>
        </w:rPr>
        <w:t>design had to be altered from the present PDR concept</w:t>
      </w:r>
      <w:r w:rsidR="00221B2C">
        <w:rPr>
          <w:rFonts w:ascii="Helvetica" w:hAnsi="Helvetica"/>
        </w:rPr>
        <w:t xml:space="preserve">, PFC </w:t>
      </w:r>
      <w:r w:rsidR="005A5D07">
        <w:rPr>
          <w:rFonts w:ascii="Helvetica" w:hAnsi="Helvetica"/>
        </w:rPr>
        <w:t>requirements</w:t>
      </w:r>
      <w:r w:rsidR="00221B2C">
        <w:rPr>
          <w:rFonts w:ascii="Helvetica" w:hAnsi="Helvetica"/>
        </w:rPr>
        <w:t xml:space="preserve"> derived from coil tolerances</w:t>
      </w:r>
      <w:r w:rsidR="005A5D07">
        <w:rPr>
          <w:rFonts w:ascii="Helvetica" w:hAnsi="Helvetica"/>
        </w:rPr>
        <w:t xml:space="preserve"> would</w:t>
      </w:r>
      <w:r w:rsidR="00221B2C">
        <w:rPr>
          <w:rFonts w:ascii="Helvetica" w:hAnsi="Helvetica"/>
        </w:rPr>
        <w:t xml:space="preserve"> also change.  </w:t>
      </w:r>
      <w:r w:rsidR="003E07D9">
        <w:rPr>
          <w:rFonts w:ascii="Helvetica" w:hAnsi="Helvetica"/>
        </w:rPr>
        <w:t>Such a process has design defining requirements instead of requirements driving</w:t>
      </w:r>
      <w:r w:rsidR="007F631E">
        <w:rPr>
          <w:rFonts w:ascii="Helvetica" w:hAnsi="Helvetica"/>
        </w:rPr>
        <w:t xml:space="preserve"> design and could iterate to a system that no longer can support the required physics mission.</w:t>
      </w:r>
    </w:p>
    <w:p w:rsidR="008A1DC3" w:rsidRDefault="008A1DC3" w:rsidP="00464877">
      <w:pPr>
        <w:jc w:val="both"/>
        <w:rPr>
          <w:rFonts w:ascii="Helvetica" w:hAnsi="Helvetica"/>
          <w:u w:val="single"/>
        </w:rPr>
      </w:pPr>
    </w:p>
    <w:p w:rsidR="00004BEE" w:rsidRPr="00004BEE" w:rsidRDefault="00004BEE" w:rsidP="00004BEE">
      <w:pPr>
        <w:jc w:val="both"/>
        <w:rPr>
          <w:rFonts w:ascii="Helvetica" w:hAnsi="Helvetica"/>
          <w:b/>
        </w:rPr>
      </w:pPr>
      <w:r w:rsidRPr="00004BEE">
        <w:rPr>
          <w:rFonts w:ascii="Helvetica" w:hAnsi="Helvetica"/>
          <w:b/>
        </w:rPr>
        <w:t xml:space="preserve">F-2: </w:t>
      </w:r>
      <w:r w:rsidRPr="00004BEE">
        <w:rPr>
          <w:rFonts w:ascii="Helvetica" w:hAnsi="Helvetica"/>
          <w:b/>
        </w:rPr>
        <w:t xml:space="preserve">Present methods to define requirements for PFCs to support non-axisymmetric heat flux do not accurately specify the expected conditions.  </w:t>
      </w:r>
    </w:p>
    <w:p w:rsidR="00004BEE" w:rsidRDefault="00004BEE" w:rsidP="00464877">
      <w:pPr>
        <w:jc w:val="both"/>
        <w:rPr>
          <w:rFonts w:ascii="Helvetica" w:hAnsi="Helvetica"/>
        </w:rPr>
      </w:pPr>
    </w:p>
    <w:p w:rsidR="00206A9E" w:rsidRDefault="00206A9E" w:rsidP="00464877">
      <w:pPr>
        <w:jc w:val="both"/>
        <w:rPr>
          <w:rFonts w:ascii="Helvetica" w:hAnsi="Helvetica"/>
        </w:rPr>
      </w:pPr>
      <w:r>
        <w:rPr>
          <w:rFonts w:ascii="Helvetica" w:hAnsi="Helvetica"/>
        </w:rPr>
        <w:t>While vacuum field approximations have been used in NSTX-U-DOC-101</w:t>
      </w:r>
      <w:r w:rsidR="00EF7FBF">
        <w:rPr>
          <w:rFonts w:ascii="Helvetica" w:hAnsi="Helvetica"/>
        </w:rPr>
        <w:t xml:space="preserve"> to </w:t>
      </w:r>
      <w:r w:rsidR="007F631E">
        <w:rPr>
          <w:rFonts w:ascii="Helvetica" w:hAnsi="Helvetica"/>
        </w:rPr>
        <w:t>estimate</w:t>
      </w:r>
      <w:r w:rsidR="00EF7FBF">
        <w:rPr>
          <w:rFonts w:ascii="Helvetica" w:hAnsi="Helvetica"/>
        </w:rPr>
        <w:t xml:space="preserve"> reasonable coil alignment tolerances for NSTX-U-RQMT-RD-011, there is a known deficiency in that they are limited to vacuum approximations.  Results from M3D-C</w:t>
      </w:r>
      <w:r w:rsidR="00EF7FBF" w:rsidRPr="00EF7FBF">
        <w:rPr>
          <w:rFonts w:ascii="Helvetica" w:hAnsi="Helvetica"/>
          <w:vertAlign w:val="superscript"/>
        </w:rPr>
        <w:t>1</w:t>
      </w:r>
      <w:r w:rsidR="00EF7FBF">
        <w:rPr>
          <w:rFonts w:ascii="Helvetica" w:hAnsi="Helvetica"/>
        </w:rPr>
        <w:t xml:space="preserve"> modeling in PFCR-MEMO-006 indicated that plasma response was important for setting the IBDH heat flux enhancement, and code predictions were sensitive to input assumptions.</w:t>
      </w:r>
      <w:r w:rsidR="00D03961">
        <w:rPr>
          <w:rFonts w:ascii="Helvetica" w:hAnsi="Helvetica"/>
        </w:rPr>
        <w:t xml:space="preserve">  Additionally, the coil alignment</w:t>
      </w:r>
      <w:r w:rsidR="00C66937">
        <w:rPr>
          <w:rFonts w:ascii="Helvetica" w:hAnsi="Helvetica"/>
        </w:rPr>
        <w:t xml:space="preserve"> specification</w:t>
      </w:r>
      <w:r w:rsidR="00D03961">
        <w:rPr>
          <w:rFonts w:ascii="Helvetica" w:hAnsi="Helvetica"/>
        </w:rPr>
        <w:t xml:space="preserve"> is a tolerance </w:t>
      </w:r>
      <w:r w:rsidR="00B33F43">
        <w:rPr>
          <w:rFonts w:ascii="Helvetica" w:hAnsi="Helvetica"/>
        </w:rPr>
        <w:t xml:space="preserve">range and does not indicate where the </w:t>
      </w:r>
      <w:r w:rsidR="00C66937">
        <w:rPr>
          <w:rFonts w:ascii="Helvetica" w:hAnsi="Helvetica"/>
        </w:rPr>
        <w:t>installed</w:t>
      </w:r>
      <w:r w:rsidR="00B33F43">
        <w:rPr>
          <w:rFonts w:ascii="Helvetica" w:hAnsi="Helvetica"/>
        </w:rPr>
        <w:t xml:space="preserve"> coil positions would be.</w:t>
      </w:r>
      <w:r w:rsidR="00C66937">
        <w:rPr>
          <w:rFonts w:ascii="Helvetica" w:hAnsi="Helvetica"/>
        </w:rPr>
        <w:t xml:space="preserve">  Lastly, the evolution of the coil positions, due to thermal settling following bake as well as creep, is not known.  Together </w:t>
      </w:r>
      <w:r w:rsidR="007F631E">
        <w:rPr>
          <w:rFonts w:ascii="Helvetica" w:hAnsi="Helvetica"/>
        </w:rPr>
        <w:t>these results</w:t>
      </w:r>
      <w:r w:rsidR="00C66937">
        <w:rPr>
          <w:rFonts w:ascii="Helvetica" w:hAnsi="Helvetica"/>
        </w:rPr>
        <w:t xml:space="preserve"> indicate we need to be aware </w:t>
      </w:r>
      <w:r w:rsidR="00C05370">
        <w:rPr>
          <w:rFonts w:ascii="Helvetica" w:hAnsi="Helvetica"/>
        </w:rPr>
        <w:t>that heat flux is expected to have a 3D component and it</w:t>
      </w:r>
      <w:r w:rsidR="005F4B54">
        <w:rPr>
          <w:rFonts w:ascii="Helvetica" w:hAnsi="Helvetica"/>
        </w:rPr>
        <w:t>s approximate magnitude</w:t>
      </w:r>
      <w:r w:rsidR="00A24A6C">
        <w:rPr>
          <w:rFonts w:ascii="Helvetica" w:hAnsi="Helvetica"/>
        </w:rPr>
        <w:t xml:space="preserve"> in various scenarios</w:t>
      </w:r>
      <w:r w:rsidR="005F4B54">
        <w:rPr>
          <w:rFonts w:ascii="Helvetica" w:hAnsi="Helvetica"/>
        </w:rPr>
        <w:t>.</w:t>
      </w:r>
      <w:r w:rsidR="00A24A6C">
        <w:rPr>
          <w:rFonts w:ascii="Helvetica" w:hAnsi="Helvetica"/>
        </w:rPr>
        <w:t xml:space="preserve">  </w:t>
      </w:r>
      <w:r w:rsidR="007F631E">
        <w:rPr>
          <w:rFonts w:ascii="Helvetica" w:hAnsi="Helvetica"/>
        </w:rPr>
        <w:t xml:space="preserve">For example, </w:t>
      </w:r>
      <w:r w:rsidR="00A24A6C">
        <w:rPr>
          <w:rFonts w:ascii="Helvetica" w:hAnsi="Helvetica"/>
        </w:rPr>
        <w:t>NSTX-U-DOC-101 indicates that scenarios with low angles of incidenc</w:t>
      </w:r>
      <w:r w:rsidR="00FD2E8F">
        <w:rPr>
          <w:rFonts w:ascii="Helvetica" w:hAnsi="Helvetica"/>
        </w:rPr>
        <w:t xml:space="preserve">e, ~1 </w:t>
      </w:r>
      <w:proofErr w:type="spellStart"/>
      <w:r w:rsidR="00FD2E8F">
        <w:rPr>
          <w:rFonts w:ascii="Helvetica" w:hAnsi="Helvetica"/>
        </w:rPr>
        <w:t>deg</w:t>
      </w:r>
      <w:proofErr w:type="spellEnd"/>
      <w:r w:rsidR="00FD2E8F">
        <w:rPr>
          <w:rFonts w:ascii="Helvetica" w:hAnsi="Helvetica"/>
        </w:rPr>
        <w:t>, are affected the most</w:t>
      </w:r>
      <w:proofErr w:type="gramStart"/>
      <w:r w:rsidR="007F631E">
        <w:rPr>
          <w:rFonts w:ascii="Helvetica" w:hAnsi="Helvetica"/>
        </w:rPr>
        <w:t xml:space="preserve">,  </w:t>
      </w:r>
      <w:proofErr w:type="spellStart"/>
      <w:r w:rsidR="007F631E" w:rsidRPr="007F631E">
        <w:rPr>
          <w:rFonts w:ascii="Symbol" w:hAnsi="Symbol"/>
        </w:rPr>
        <w:t></w:t>
      </w:r>
      <w:r w:rsidR="007F631E">
        <w:rPr>
          <w:rFonts w:ascii="Helvetica" w:hAnsi="Helvetica"/>
        </w:rPr>
        <w:t>q</w:t>
      </w:r>
      <w:r w:rsidR="007F631E" w:rsidRPr="007F631E">
        <w:rPr>
          <w:rFonts w:ascii="Helvetica" w:hAnsi="Helvetica"/>
          <w:vertAlign w:val="subscript"/>
        </w:rPr>
        <w:t>PERP</w:t>
      </w:r>
      <w:proofErr w:type="spellEnd"/>
      <w:proofErr w:type="gramEnd"/>
      <w:r w:rsidR="007F631E">
        <w:rPr>
          <w:rFonts w:ascii="Helvetica" w:hAnsi="Helvetica"/>
        </w:rPr>
        <w:t xml:space="preserve"> ~1.0 MW/m</w:t>
      </w:r>
      <w:r w:rsidR="007F631E" w:rsidRPr="007F631E">
        <w:rPr>
          <w:rFonts w:ascii="Helvetica" w:hAnsi="Helvetica"/>
          <w:vertAlign w:val="superscript"/>
        </w:rPr>
        <w:t>2</w:t>
      </w:r>
      <w:r w:rsidR="007F631E">
        <w:rPr>
          <w:rFonts w:ascii="Helvetica" w:hAnsi="Helvetica"/>
        </w:rPr>
        <w:t>, which helps to evaluate impact during early operations.</w:t>
      </w:r>
    </w:p>
    <w:p w:rsidR="00004BEE" w:rsidRDefault="00004BEE" w:rsidP="00004BEE">
      <w:pPr>
        <w:jc w:val="both"/>
        <w:rPr>
          <w:rFonts w:ascii="Helvetica" w:hAnsi="Helvetica"/>
          <w:b/>
        </w:rPr>
      </w:pPr>
    </w:p>
    <w:p w:rsidR="00004BEE" w:rsidRPr="00004BEE" w:rsidRDefault="00004BEE" w:rsidP="00004BEE">
      <w:pPr>
        <w:jc w:val="both"/>
        <w:rPr>
          <w:rFonts w:ascii="Helvetica" w:hAnsi="Helvetica"/>
          <w:b/>
        </w:rPr>
      </w:pPr>
      <w:r w:rsidRPr="00004BEE">
        <w:rPr>
          <w:rFonts w:ascii="Helvetica" w:hAnsi="Helvetica"/>
          <w:b/>
        </w:rPr>
        <w:t xml:space="preserve">F-3: </w:t>
      </w:r>
      <w:r w:rsidR="00F3673B">
        <w:rPr>
          <w:rFonts w:ascii="Helvetica" w:hAnsi="Helvetica"/>
          <w:b/>
        </w:rPr>
        <w:t>If</w:t>
      </w:r>
      <w:r w:rsidR="00F3673B" w:rsidRPr="00004BEE">
        <w:rPr>
          <w:rFonts w:ascii="Helvetica" w:hAnsi="Helvetica"/>
          <w:b/>
        </w:rPr>
        <w:t xml:space="preserve"> tiles are temperature limited</w:t>
      </w:r>
      <w:r w:rsidR="00F3673B">
        <w:rPr>
          <w:rFonts w:ascii="Helvetica" w:hAnsi="Helvetica"/>
          <w:b/>
        </w:rPr>
        <w:t>, l</w:t>
      </w:r>
      <w:r w:rsidRPr="00004BEE">
        <w:rPr>
          <w:rFonts w:ascii="Helvetica" w:hAnsi="Helvetica"/>
          <w:b/>
        </w:rPr>
        <w:t>owering the axisymmetric heat flux requirement</w:t>
      </w:r>
      <w:r w:rsidR="00F3673B">
        <w:rPr>
          <w:rFonts w:ascii="Helvetica" w:hAnsi="Helvetica"/>
          <w:b/>
        </w:rPr>
        <w:t xml:space="preserve"> is overly conservative if done to correct for non-axisymmetric PFC heat flux.</w:t>
      </w:r>
    </w:p>
    <w:p w:rsidR="00004BEE" w:rsidRPr="00004BEE" w:rsidRDefault="00004BEE" w:rsidP="00004BEE">
      <w:pPr>
        <w:jc w:val="both"/>
        <w:rPr>
          <w:rFonts w:ascii="Helvetica" w:hAnsi="Helvetica"/>
        </w:rPr>
      </w:pPr>
    </w:p>
    <w:p w:rsidR="00F95643" w:rsidRDefault="00206A9E" w:rsidP="00464877">
      <w:pPr>
        <w:jc w:val="both"/>
        <w:rPr>
          <w:rFonts w:ascii="Helvetica" w:hAnsi="Helvetica"/>
        </w:rPr>
      </w:pPr>
      <w:r>
        <w:rPr>
          <w:rFonts w:ascii="Helvetica" w:hAnsi="Helvetica"/>
        </w:rPr>
        <w:t>While not a specific requirement, the design intent of the high heat flux tiles is to make temperature limited, rather than stress limited tiles.</w:t>
      </w:r>
      <w:r w:rsidR="007F631E">
        <w:rPr>
          <w:rFonts w:ascii="Helvetica" w:hAnsi="Helvetica"/>
        </w:rPr>
        <w:t xml:space="preserve"> The PDR designs have achieved this.</w:t>
      </w:r>
      <w:r>
        <w:rPr>
          <w:rFonts w:ascii="Helvetica" w:hAnsi="Helvetica"/>
        </w:rPr>
        <w:t xml:space="preserve">  That temperature limit reflects a </w:t>
      </w:r>
      <w:r w:rsidR="007F631E">
        <w:rPr>
          <w:rFonts w:ascii="Helvetica" w:hAnsi="Helvetica"/>
        </w:rPr>
        <w:t xml:space="preserve">difficult to derive </w:t>
      </w:r>
      <w:r>
        <w:rPr>
          <w:rFonts w:ascii="Helvetica" w:hAnsi="Helvetica"/>
        </w:rPr>
        <w:t>requirement that the carbon influx from sublimation be limited to a rate</w:t>
      </w:r>
      <w:r w:rsidR="007F631E">
        <w:rPr>
          <w:rFonts w:ascii="Helvetica" w:hAnsi="Helvetica"/>
        </w:rPr>
        <w:t xml:space="preserve"> that is tolerable with </w:t>
      </w:r>
      <w:proofErr w:type="gramStart"/>
      <w:r w:rsidR="007F631E">
        <w:rPr>
          <w:rFonts w:ascii="Helvetica" w:hAnsi="Helvetica"/>
        </w:rPr>
        <w:t>a given</w:t>
      </w:r>
      <w:proofErr w:type="gramEnd"/>
      <w:r w:rsidR="007F631E">
        <w:rPr>
          <w:rFonts w:ascii="Helvetica" w:hAnsi="Helvetica"/>
        </w:rPr>
        <w:t xml:space="preserve"> plasma</w:t>
      </w:r>
      <w:r>
        <w:rPr>
          <w:rFonts w:ascii="Helvetica" w:hAnsi="Helvetica"/>
        </w:rPr>
        <w:t xml:space="preserve">.  Since the latter is difficult to derive, the result is to assume some surface (1600 </w:t>
      </w:r>
      <w:proofErr w:type="spellStart"/>
      <w:r>
        <w:rPr>
          <w:rFonts w:ascii="Helvetica" w:hAnsi="Helvetica"/>
        </w:rPr>
        <w:t>degC</w:t>
      </w:r>
      <w:proofErr w:type="spellEnd"/>
      <w:r>
        <w:rPr>
          <w:rFonts w:ascii="Helvetica" w:hAnsi="Helvetica"/>
        </w:rPr>
        <w:t xml:space="preserve">) and edge (2000 </w:t>
      </w:r>
      <w:proofErr w:type="spellStart"/>
      <w:r>
        <w:rPr>
          <w:rFonts w:ascii="Helvetica" w:hAnsi="Helvetica"/>
        </w:rPr>
        <w:t>degC</w:t>
      </w:r>
      <w:proofErr w:type="spellEnd"/>
      <w:r>
        <w:rPr>
          <w:rFonts w:ascii="Helvetica" w:hAnsi="Helvetica"/>
        </w:rPr>
        <w:t xml:space="preserve">) temperature limits for </w:t>
      </w:r>
      <w:proofErr w:type="spellStart"/>
      <w:r>
        <w:rPr>
          <w:rFonts w:ascii="Helvetica" w:hAnsi="Helvetica"/>
        </w:rPr>
        <w:t>PFCs.</w:t>
      </w:r>
      <w:proofErr w:type="spellEnd"/>
      <w:r w:rsidR="007F631E">
        <w:rPr>
          <w:rFonts w:ascii="Helvetica" w:hAnsi="Helvetica"/>
        </w:rPr>
        <w:t xml:space="preserve">  A literature survey summarized in PFCR-MEMO-003 showed these values to have wide uncertainties of ~300 </w:t>
      </w:r>
      <w:proofErr w:type="spellStart"/>
      <w:r w:rsidR="007F631E">
        <w:rPr>
          <w:rFonts w:ascii="Helvetica" w:hAnsi="Helvetica"/>
        </w:rPr>
        <w:t>degC</w:t>
      </w:r>
      <w:proofErr w:type="spellEnd"/>
      <w:r w:rsidR="007F631E">
        <w:rPr>
          <w:rFonts w:ascii="Helvetica" w:hAnsi="Helvetica"/>
        </w:rPr>
        <w:t xml:space="preserve">. </w:t>
      </w:r>
      <w:r w:rsidR="00EF7FBF">
        <w:rPr>
          <w:rFonts w:ascii="Helvetica" w:hAnsi="Helvetica"/>
        </w:rPr>
        <w:t>Coil alignments will result in increased temperatures</w:t>
      </w:r>
      <w:r w:rsidR="00A04E56">
        <w:rPr>
          <w:rFonts w:ascii="Helvetica" w:hAnsi="Helvetica"/>
        </w:rPr>
        <w:t xml:space="preserve">, but in limited toroidal regions.  This will peak the carbon influx rate in places, </w:t>
      </w:r>
      <w:r w:rsidR="008A1DC3">
        <w:rPr>
          <w:rFonts w:ascii="Helvetica" w:hAnsi="Helvetica"/>
        </w:rPr>
        <w:t xml:space="preserve">but integrated over the entire divertor surface it is less than would be implied </w:t>
      </w:r>
      <w:r w:rsidR="008E2A55">
        <w:rPr>
          <w:rFonts w:ascii="Helvetica" w:hAnsi="Helvetica"/>
        </w:rPr>
        <w:t xml:space="preserve">by forcing the entire surface to be less than the </w:t>
      </w:r>
      <w:proofErr w:type="spellStart"/>
      <w:r w:rsidR="008E2A55">
        <w:rPr>
          <w:rFonts w:ascii="Helvetica" w:hAnsi="Helvetica"/>
        </w:rPr>
        <w:t>divertor</w:t>
      </w:r>
      <w:proofErr w:type="spellEnd"/>
      <w:r w:rsidR="008E2A55">
        <w:rPr>
          <w:rFonts w:ascii="Helvetica" w:hAnsi="Helvetica"/>
        </w:rPr>
        <w:t xml:space="preserve"> limit.  In addition, designing tiles assuming axisymmetric heat flux still reflects the GRD requirement that PFCs ‘</w:t>
      </w:r>
      <w:r w:rsidR="008E2A55">
        <w:rPr>
          <w:rFonts w:ascii="Helvetica" w:hAnsi="Helvetica"/>
        </w:rPr>
        <w:t>minimize the influx of impurities into the plasma’</w:t>
      </w:r>
      <w:r w:rsidR="008E2A55">
        <w:rPr>
          <w:rFonts w:ascii="Helvetica" w:hAnsi="Helvetica"/>
        </w:rPr>
        <w:t xml:space="preserve">, unless the toroidal phase of the error field is knowable (and </w:t>
      </w:r>
      <w:r w:rsidR="00692B4A">
        <w:rPr>
          <w:rFonts w:ascii="Helvetica" w:hAnsi="Helvetica"/>
        </w:rPr>
        <w:t xml:space="preserve">remains </w:t>
      </w:r>
      <w:r w:rsidR="008E2A55">
        <w:rPr>
          <w:rFonts w:ascii="Helvetica" w:hAnsi="Helvetica"/>
        </w:rPr>
        <w:t>fixed) at installation and could be corrected.</w:t>
      </w:r>
      <w:r w:rsidR="00692B4A">
        <w:rPr>
          <w:rFonts w:ascii="Helvetica" w:hAnsi="Helvetica"/>
        </w:rPr>
        <w:t xml:space="preserve">  This is not presently expected.</w:t>
      </w:r>
      <w:r w:rsidR="008E2A55">
        <w:rPr>
          <w:rFonts w:ascii="Helvetica" w:hAnsi="Helvetica"/>
        </w:rPr>
        <w:t xml:space="preserve">  </w:t>
      </w:r>
    </w:p>
    <w:p w:rsidR="00004BEE" w:rsidRPr="00004BEE" w:rsidRDefault="00004BEE" w:rsidP="00004BEE">
      <w:pPr>
        <w:jc w:val="both"/>
        <w:rPr>
          <w:rFonts w:ascii="Helvetica" w:hAnsi="Helvetica"/>
        </w:rPr>
      </w:pPr>
    </w:p>
    <w:p w:rsidR="00004BEE" w:rsidRPr="00004BEE" w:rsidRDefault="00004BEE" w:rsidP="00004BEE">
      <w:pPr>
        <w:jc w:val="both"/>
        <w:rPr>
          <w:rFonts w:ascii="Helvetica" w:hAnsi="Helvetica"/>
        </w:rPr>
      </w:pPr>
      <w:r w:rsidRPr="00004BEE">
        <w:rPr>
          <w:rFonts w:ascii="Helvetica" w:hAnsi="Helvetica"/>
          <w:b/>
        </w:rPr>
        <w:t xml:space="preserve">F-4: </w:t>
      </w:r>
      <w:r w:rsidR="005C50D4" w:rsidRPr="005C50D4">
        <w:rPr>
          <w:rFonts w:ascii="Helvetica" w:hAnsi="Helvetica"/>
          <w:b/>
        </w:rPr>
        <w:t>4.</w:t>
      </w:r>
      <w:r w:rsidR="005C50D4" w:rsidRPr="005C50D4">
        <w:rPr>
          <w:rFonts w:ascii="Helvetica" w:hAnsi="Helvetica"/>
          <w:b/>
        </w:rPr>
        <w:tab/>
      </w:r>
      <w:proofErr w:type="gramStart"/>
      <w:r w:rsidR="005C50D4" w:rsidRPr="005C50D4">
        <w:rPr>
          <w:rFonts w:ascii="Helvetica" w:hAnsi="Helvetica"/>
          <w:b/>
        </w:rPr>
        <w:t>The</w:t>
      </w:r>
      <w:proofErr w:type="gramEnd"/>
      <w:r w:rsidR="005C50D4" w:rsidRPr="005C50D4">
        <w:rPr>
          <w:rFonts w:ascii="Helvetica" w:hAnsi="Helvetica"/>
          <w:b/>
        </w:rPr>
        <w:t xml:space="preserve"> impact of heat flux enhancements from coil misalignments be accounted for when evaluating PFCs during initial, low power plasma operation</w:t>
      </w:r>
      <w:r w:rsidR="005C50D4">
        <w:rPr>
          <w:rFonts w:ascii="Helvetica" w:hAnsi="Helvetica"/>
          <w:b/>
        </w:rPr>
        <w:t>.</w:t>
      </w:r>
    </w:p>
    <w:p w:rsidR="005C50D4" w:rsidRDefault="005C50D4" w:rsidP="00A24A6C">
      <w:pPr>
        <w:jc w:val="both"/>
        <w:rPr>
          <w:rFonts w:ascii="Helvetica" w:hAnsi="Helvetica"/>
        </w:rPr>
      </w:pPr>
    </w:p>
    <w:p w:rsidR="00A24A6C" w:rsidRDefault="00AB00CE" w:rsidP="00A24A6C">
      <w:pPr>
        <w:jc w:val="both"/>
        <w:rPr>
          <w:rFonts w:ascii="Helvetica" w:hAnsi="Helvetica"/>
        </w:rPr>
      </w:pPr>
      <w:r>
        <w:rPr>
          <w:rFonts w:ascii="Helvetica" w:hAnsi="Helvetica"/>
        </w:rPr>
        <w:t>The work done in NSTX-U-DOC-101 has already driven updates to the PFC Diagnostic</w:t>
      </w:r>
      <w:r w:rsidR="00BD0D6E">
        <w:rPr>
          <w:rFonts w:ascii="Helvetica" w:hAnsi="Helvetica"/>
        </w:rPr>
        <w:t>s and Fueling Requirements (NSTX-U-TQMT-RD-004)</w:t>
      </w:r>
      <w:r>
        <w:rPr>
          <w:rFonts w:ascii="Helvetica" w:hAnsi="Helvetica"/>
        </w:rPr>
        <w:t xml:space="preserve"> to install redundant and </w:t>
      </w:r>
      <w:proofErr w:type="spellStart"/>
      <w:r>
        <w:rPr>
          <w:rFonts w:ascii="Helvetica" w:hAnsi="Helvetica"/>
        </w:rPr>
        <w:t>toroidally</w:t>
      </w:r>
      <w:proofErr w:type="spellEnd"/>
      <w:r>
        <w:rPr>
          <w:rFonts w:ascii="Helvetica" w:hAnsi="Helvetica"/>
        </w:rPr>
        <w:t xml:space="preserve"> dispersed thermocouples to assist in evaluating non-axisymmetric energy deposition.  Future IR thermography system requirements </w:t>
      </w:r>
      <w:r>
        <w:rPr>
          <w:rFonts w:ascii="Helvetica" w:hAnsi="Helvetica"/>
        </w:rPr>
        <w:lastRenderedPageBreak/>
        <w:t xml:space="preserve">would also expect to accommodate this in their design.  </w:t>
      </w:r>
      <w:r w:rsidR="00A24A6C">
        <w:rPr>
          <w:rFonts w:ascii="Helvetica" w:hAnsi="Helvetica"/>
        </w:rPr>
        <w:t>There is an acknowledgement that PFC heat flux requirements are not as firm as others due to plasma physics uncertainty and the expectation that they cannot accommodate</w:t>
      </w:r>
      <w:r w:rsidR="00B06805">
        <w:rPr>
          <w:rFonts w:ascii="Helvetica" w:hAnsi="Helvetica"/>
        </w:rPr>
        <w:t xml:space="preserve"> 100% </w:t>
      </w:r>
      <w:r>
        <w:rPr>
          <w:rFonts w:ascii="Helvetica" w:hAnsi="Helvetica"/>
        </w:rPr>
        <w:t xml:space="preserve">of TSG requests.  Thus, there is need, </w:t>
      </w:r>
      <w:r w:rsidR="00BD0D6E">
        <w:rPr>
          <w:rFonts w:ascii="Helvetica" w:hAnsi="Helvetica"/>
        </w:rPr>
        <w:t>which is</w:t>
      </w:r>
      <w:r>
        <w:rPr>
          <w:rFonts w:ascii="Helvetica" w:hAnsi="Helvetica"/>
        </w:rPr>
        <w:t xml:space="preserve"> presently not captured in the Recovery project planning, to commission NSTX-U to confirm uncertainties</w:t>
      </w:r>
      <w:r w:rsidR="00585A44">
        <w:rPr>
          <w:rFonts w:ascii="Helvetica" w:hAnsi="Helvetica"/>
        </w:rPr>
        <w:t xml:space="preserve"> assumed in the design (e.g. heat flux and halo currents</w:t>
      </w:r>
      <w:r w:rsidR="00CF6075">
        <w:rPr>
          <w:rFonts w:ascii="Helvetica" w:hAnsi="Helvetica"/>
        </w:rPr>
        <w:t>, effective temperature limits</w:t>
      </w:r>
      <w:r w:rsidR="00585A44">
        <w:rPr>
          <w:rFonts w:ascii="Helvetica" w:hAnsi="Helvetica"/>
        </w:rPr>
        <w:t xml:space="preserve">) prior to </w:t>
      </w:r>
      <w:r w:rsidR="00CF6075">
        <w:rPr>
          <w:rFonts w:ascii="Helvetica" w:hAnsi="Helvetica"/>
        </w:rPr>
        <w:t>pursuing operations</w:t>
      </w:r>
      <w:r w:rsidR="005C50D4">
        <w:rPr>
          <w:rFonts w:ascii="Helvetica" w:hAnsi="Helvetica"/>
        </w:rPr>
        <w:t xml:space="preserve"> that approach</w:t>
      </w:r>
      <w:r w:rsidR="00CF6075">
        <w:rPr>
          <w:rFonts w:ascii="Helvetica" w:hAnsi="Helvetica"/>
        </w:rPr>
        <w:t xml:space="preserve"> the </w:t>
      </w:r>
      <w:r w:rsidR="005C50D4">
        <w:rPr>
          <w:rFonts w:ascii="Helvetica" w:hAnsi="Helvetica"/>
        </w:rPr>
        <w:t xml:space="preserve">facility </w:t>
      </w:r>
      <w:r w:rsidR="00585A44">
        <w:rPr>
          <w:rFonts w:ascii="Helvetica" w:hAnsi="Helvetica"/>
        </w:rPr>
        <w:t xml:space="preserve">limits.  </w:t>
      </w:r>
      <w:r w:rsidR="005C50D4">
        <w:rPr>
          <w:rFonts w:ascii="Helvetica" w:hAnsi="Helvetica"/>
        </w:rPr>
        <w:t>The need to</w:t>
      </w:r>
      <w:r w:rsidR="00CF6075">
        <w:rPr>
          <w:rFonts w:ascii="Helvetica" w:hAnsi="Helvetica"/>
        </w:rPr>
        <w:t xml:space="preserve"> characterize</w:t>
      </w:r>
      <w:r w:rsidR="00585A44">
        <w:rPr>
          <w:rFonts w:ascii="Helvetica" w:hAnsi="Helvetica"/>
        </w:rPr>
        <w:t xml:space="preserve"> 3D heat flux patterns to understand effects of PF and TF coil misalignments </w:t>
      </w:r>
      <w:r w:rsidR="00AD5324">
        <w:rPr>
          <w:rFonts w:ascii="Helvetica" w:hAnsi="Helvetica"/>
        </w:rPr>
        <w:t xml:space="preserve">should be </w:t>
      </w:r>
      <w:r w:rsidR="005C50D4">
        <w:rPr>
          <w:rFonts w:ascii="Helvetica" w:hAnsi="Helvetica"/>
        </w:rPr>
        <w:t>added</w:t>
      </w:r>
      <w:r w:rsidR="00AD5324">
        <w:rPr>
          <w:rFonts w:ascii="Helvetica" w:hAnsi="Helvetica"/>
        </w:rPr>
        <w:t>.  This further reinforces the need to explicitly include time and resources for this activity.  While likely not part of Recovery, work to prepare for this will be done in p</w:t>
      </w:r>
      <w:r w:rsidR="00E0592B">
        <w:rPr>
          <w:rFonts w:ascii="Helvetica" w:hAnsi="Helvetica"/>
        </w:rPr>
        <w:t>arallel to allow for execution in early NSTX-U operations.</w:t>
      </w:r>
    </w:p>
    <w:p w:rsidR="00E0592B" w:rsidRDefault="00E0592B" w:rsidP="00A24A6C">
      <w:pPr>
        <w:jc w:val="both"/>
        <w:rPr>
          <w:rFonts w:ascii="Helvetica" w:hAnsi="Helvetica"/>
        </w:rPr>
      </w:pPr>
    </w:p>
    <w:p w:rsidR="00E0592B" w:rsidRDefault="00E0592B" w:rsidP="00A24A6C">
      <w:pPr>
        <w:jc w:val="both"/>
        <w:rPr>
          <w:rFonts w:ascii="Helvetica" w:hAnsi="Helvetica"/>
        </w:rPr>
      </w:pPr>
      <w:r>
        <w:rPr>
          <w:rFonts w:ascii="Helvetica" w:hAnsi="Helvetica"/>
        </w:rPr>
        <w:t xml:space="preserve">To aid in judging how NSTX-U can be operated to stay within the design envelope of the PFCs with acceptable risk and measurement uncertainty it is important to differentiate between PFCs reaching temperature limit and stress allowable, typically ½ ultimate per Section 2.5.2.4 of the NSTX Structure Design Criteria, NSTX-CRIT-0001-02.  Maintaining NSTX-U PFCs is within the material stress allowable is arguably more important than </w:t>
      </w:r>
      <w:r w:rsidR="00A654F5">
        <w:rPr>
          <w:rFonts w:ascii="Helvetica" w:hAnsi="Helvetica"/>
        </w:rPr>
        <w:t>keeping the surface below the temperature limit.</w:t>
      </w:r>
      <w:r w:rsidR="001714BF">
        <w:rPr>
          <w:rFonts w:ascii="Helvetica" w:hAnsi="Helvetica"/>
        </w:rPr>
        <w:t xml:space="preserve"> </w:t>
      </w:r>
      <w:r w:rsidR="007A332B">
        <w:rPr>
          <w:rFonts w:ascii="Helvetica" w:hAnsi="Helvetica"/>
        </w:rPr>
        <w:t xml:space="preserve"> Thus, </w:t>
      </w:r>
      <w:r w:rsidR="005C50D4">
        <w:rPr>
          <w:rFonts w:ascii="Helvetica" w:hAnsi="Helvetica"/>
        </w:rPr>
        <w:t xml:space="preserve">for </w:t>
      </w:r>
      <w:r w:rsidR="007A332B">
        <w:rPr>
          <w:rFonts w:ascii="Helvetica" w:hAnsi="Helvetica"/>
        </w:rPr>
        <w:t xml:space="preserve">designs which are shown to be </w:t>
      </w:r>
      <w:r w:rsidR="005C50D4">
        <w:rPr>
          <w:rFonts w:ascii="Helvetica" w:hAnsi="Helvetica"/>
        </w:rPr>
        <w:t>temperature limited, it is important to know at what load conditions they become stress limited.</w:t>
      </w:r>
    </w:p>
    <w:p w:rsidR="006A0CEA" w:rsidRDefault="0069232A" w:rsidP="00F14D3B">
      <w:pPr>
        <w:jc w:val="both"/>
        <w:rPr>
          <w:rFonts w:ascii="Helvetica" w:hAnsi="Helvetica"/>
        </w:rPr>
      </w:pPr>
      <w:r>
        <w:rPr>
          <w:rFonts w:ascii="Helvetica" w:hAnsi="Helvetica"/>
        </w:rPr>
        <w:t xml:space="preserve"> </w:t>
      </w:r>
    </w:p>
    <w:p w:rsidR="006A0CEA" w:rsidRPr="00226E26" w:rsidRDefault="006A0CEA" w:rsidP="00BD0D6E">
      <w:pPr>
        <w:rPr>
          <w:rFonts w:ascii="Helvetica" w:hAnsi="Helvetica"/>
          <w:i/>
          <w:u w:val="single"/>
        </w:rPr>
      </w:pPr>
      <w:r w:rsidRPr="00226E26">
        <w:rPr>
          <w:rFonts w:ascii="Helvetica" w:hAnsi="Helvetica"/>
          <w:i/>
          <w:u w:val="single"/>
        </w:rPr>
        <w:t>References</w:t>
      </w:r>
    </w:p>
    <w:p w:rsidR="005C50D4" w:rsidRPr="00226E26" w:rsidRDefault="00226E26" w:rsidP="00F14D3B">
      <w:pPr>
        <w:jc w:val="both"/>
        <w:rPr>
          <w:rFonts w:ascii="Helvetica" w:hAnsi="Helvetica"/>
          <w:i/>
        </w:rPr>
      </w:pPr>
      <w:proofErr w:type="gramStart"/>
      <w:r>
        <w:rPr>
          <w:rFonts w:ascii="Helvetica" w:hAnsi="Helvetica"/>
          <w:i/>
        </w:rPr>
        <w:t>defined</w:t>
      </w:r>
      <w:proofErr w:type="gramEnd"/>
      <w:r>
        <w:rPr>
          <w:rFonts w:ascii="Helvetica" w:hAnsi="Helvetica"/>
          <w:i/>
        </w:rPr>
        <w:t xml:space="preserve"> within the document</w:t>
      </w:r>
    </w:p>
    <w:p w:rsidR="006A0CEA" w:rsidRDefault="006A0CEA" w:rsidP="00F14D3B">
      <w:pPr>
        <w:jc w:val="both"/>
        <w:rPr>
          <w:rFonts w:ascii="Helvetica" w:hAnsi="Helvetica"/>
        </w:rPr>
      </w:pPr>
    </w:p>
    <w:p w:rsidR="006A0CEA" w:rsidRDefault="006A0CEA" w:rsidP="00F14D3B">
      <w:pPr>
        <w:jc w:val="both"/>
        <w:rPr>
          <w:rFonts w:ascii="Helvetica" w:hAnsi="Helvetica"/>
        </w:rPr>
      </w:pPr>
    </w:p>
    <w:p w:rsidR="006A0CEA" w:rsidRPr="006A0CEA" w:rsidRDefault="006A0CEA" w:rsidP="006A0CEA">
      <w:pPr>
        <w:pStyle w:val="toctitle"/>
        <w:tabs>
          <w:tab w:val="left" w:pos="2160"/>
        </w:tabs>
        <w:rPr>
          <w:rFonts w:ascii="Helvetica" w:hAnsi="Helvetica"/>
          <w:sz w:val="32"/>
        </w:rPr>
      </w:pPr>
      <w:r w:rsidRPr="006A0CEA">
        <w:rPr>
          <w:rFonts w:ascii="Helvetica" w:hAnsi="Helvetica"/>
          <w:sz w:val="32"/>
        </w:rPr>
        <w:t>Record of Changes</w:t>
      </w:r>
    </w:p>
    <w:p w:rsidR="006A0CEA" w:rsidRPr="006A0CEA" w:rsidRDefault="006A0CEA" w:rsidP="006A0CEA">
      <w:pPr>
        <w:pStyle w:val="toctitle"/>
        <w:tabs>
          <w:tab w:val="left" w:pos="2160"/>
        </w:tabs>
        <w:jc w:val="left"/>
        <w:rPr>
          <w:rFonts w:ascii="Helvetica" w:hAnsi="Helvetica"/>
        </w:rPr>
      </w:pPr>
    </w:p>
    <w:tbl>
      <w:tblPr>
        <w:tblW w:w="0" w:type="auto"/>
        <w:tblCellMar>
          <w:left w:w="80" w:type="dxa"/>
          <w:right w:w="80" w:type="dxa"/>
        </w:tblCellMar>
        <w:tblLook w:val="04A0" w:firstRow="1" w:lastRow="0" w:firstColumn="1" w:lastColumn="0" w:noHBand="0" w:noVBand="1"/>
      </w:tblPr>
      <w:tblGrid>
        <w:gridCol w:w="667"/>
        <w:gridCol w:w="961"/>
        <w:gridCol w:w="7038"/>
      </w:tblGrid>
      <w:tr w:rsidR="006A0CEA" w:rsidRPr="006A0CEA" w:rsidTr="003123E4">
        <w:trPr>
          <w:cantSplit/>
        </w:trPr>
        <w:tc>
          <w:tcPr>
            <w:tcW w:w="0" w:type="auto"/>
            <w:tcBorders>
              <w:top w:val="single" w:sz="6" w:space="0" w:color="auto"/>
              <w:left w:val="single" w:sz="6" w:space="0" w:color="auto"/>
              <w:bottom w:val="single" w:sz="6" w:space="0" w:color="auto"/>
              <w:right w:val="single" w:sz="6" w:space="0" w:color="auto"/>
            </w:tcBorders>
            <w:hideMark/>
          </w:tcPr>
          <w:p w:rsidR="006A0CEA" w:rsidRPr="006A0CEA" w:rsidRDefault="006A0CEA" w:rsidP="003123E4">
            <w:pPr>
              <w:pStyle w:val="toctitle"/>
              <w:tabs>
                <w:tab w:val="left" w:pos="2160"/>
              </w:tabs>
              <w:rPr>
                <w:rFonts w:ascii="Helvetica" w:hAnsi="Helvetica"/>
              </w:rPr>
            </w:pPr>
            <w:r w:rsidRPr="006A0CEA">
              <w:rPr>
                <w:rFonts w:ascii="Helvetica" w:hAnsi="Helvetica"/>
              </w:rPr>
              <w:t>Rev.</w:t>
            </w:r>
          </w:p>
        </w:tc>
        <w:tc>
          <w:tcPr>
            <w:tcW w:w="0" w:type="auto"/>
            <w:tcBorders>
              <w:top w:val="single" w:sz="6" w:space="0" w:color="auto"/>
              <w:left w:val="single" w:sz="6" w:space="0" w:color="auto"/>
              <w:bottom w:val="single" w:sz="6" w:space="0" w:color="auto"/>
              <w:right w:val="single" w:sz="6" w:space="0" w:color="auto"/>
            </w:tcBorders>
            <w:hideMark/>
          </w:tcPr>
          <w:p w:rsidR="006A0CEA" w:rsidRPr="006A0CEA" w:rsidRDefault="006A0CEA" w:rsidP="003123E4">
            <w:pPr>
              <w:pStyle w:val="toctitle"/>
              <w:tabs>
                <w:tab w:val="left" w:pos="2160"/>
              </w:tabs>
              <w:rPr>
                <w:rFonts w:ascii="Helvetica" w:hAnsi="Helvetica"/>
              </w:rPr>
            </w:pPr>
            <w:r w:rsidRPr="006A0CEA">
              <w:rPr>
                <w:rFonts w:ascii="Helvetica" w:hAnsi="Helvetica"/>
              </w:rPr>
              <w:t>Date</w:t>
            </w:r>
          </w:p>
        </w:tc>
        <w:tc>
          <w:tcPr>
            <w:tcW w:w="7038" w:type="dxa"/>
            <w:tcBorders>
              <w:top w:val="single" w:sz="6" w:space="0" w:color="auto"/>
              <w:left w:val="single" w:sz="6" w:space="0" w:color="auto"/>
              <w:bottom w:val="single" w:sz="6" w:space="0" w:color="auto"/>
              <w:right w:val="single" w:sz="6" w:space="0" w:color="auto"/>
            </w:tcBorders>
            <w:hideMark/>
          </w:tcPr>
          <w:p w:rsidR="006A0CEA" w:rsidRPr="006A0CEA" w:rsidRDefault="006A0CEA" w:rsidP="003123E4">
            <w:pPr>
              <w:pStyle w:val="toctitle"/>
              <w:tabs>
                <w:tab w:val="left" w:pos="2160"/>
              </w:tabs>
              <w:jc w:val="left"/>
              <w:rPr>
                <w:rFonts w:ascii="Helvetica" w:hAnsi="Helvetica"/>
              </w:rPr>
            </w:pPr>
            <w:r w:rsidRPr="006A0CEA">
              <w:rPr>
                <w:rFonts w:ascii="Helvetica" w:hAnsi="Helvetica"/>
              </w:rPr>
              <w:t>Description of Changes</w:t>
            </w:r>
          </w:p>
        </w:tc>
      </w:tr>
      <w:tr w:rsidR="006A0CEA" w:rsidRPr="006A0CEA" w:rsidTr="003B29B3">
        <w:trPr>
          <w:cantSplit/>
        </w:trPr>
        <w:tc>
          <w:tcPr>
            <w:tcW w:w="0" w:type="auto"/>
            <w:tcBorders>
              <w:top w:val="single" w:sz="6" w:space="0" w:color="auto"/>
              <w:left w:val="single" w:sz="6" w:space="0" w:color="auto"/>
              <w:bottom w:val="single" w:sz="6" w:space="0" w:color="auto"/>
              <w:right w:val="single" w:sz="6" w:space="0" w:color="auto"/>
            </w:tcBorders>
            <w:hideMark/>
          </w:tcPr>
          <w:p w:rsidR="006A0CEA" w:rsidRPr="006A0CEA" w:rsidRDefault="006A0CEA" w:rsidP="003123E4">
            <w:pPr>
              <w:pStyle w:val="toctitle"/>
              <w:tabs>
                <w:tab w:val="left" w:pos="2160"/>
              </w:tabs>
              <w:rPr>
                <w:rFonts w:ascii="Helvetica" w:hAnsi="Helvetica"/>
                <w:b w:val="0"/>
              </w:rPr>
            </w:pPr>
            <w:r w:rsidRPr="006A0CEA">
              <w:rPr>
                <w:rFonts w:ascii="Helvetica" w:hAnsi="Helvetica"/>
                <w:b w:val="0"/>
              </w:rPr>
              <w:t>0</w:t>
            </w:r>
          </w:p>
        </w:tc>
        <w:tc>
          <w:tcPr>
            <w:tcW w:w="0" w:type="auto"/>
            <w:tcBorders>
              <w:top w:val="single" w:sz="6" w:space="0" w:color="auto"/>
              <w:left w:val="single" w:sz="6" w:space="0" w:color="auto"/>
              <w:bottom w:val="single" w:sz="6" w:space="0" w:color="auto"/>
              <w:right w:val="single" w:sz="6" w:space="0" w:color="auto"/>
            </w:tcBorders>
          </w:tcPr>
          <w:p w:rsidR="006A0CEA" w:rsidRPr="006A0CEA" w:rsidRDefault="00E11D80" w:rsidP="003123E4">
            <w:pPr>
              <w:pStyle w:val="toctitle"/>
              <w:tabs>
                <w:tab w:val="left" w:pos="2160"/>
              </w:tabs>
              <w:rPr>
                <w:rFonts w:ascii="Helvetica" w:hAnsi="Helvetica"/>
                <w:b w:val="0"/>
              </w:rPr>
            </w:pPr>
            <w:r>
              <w:rPr>
                <w:rFonts w:ascii="Helvetica" w:hAnsi="Helvetica"/>
                <w:b w:val="0"/>
              </w:rPr>
              <w:t>2/21/18</w:t>
            </w:r>
          </w:p>
        </w:tc>
        <w:tc>
          <w:tcPr>
            <w:tcW w:w="7038" w:type="dxa"/>
            <w:tcBorders>
              <w:top w:val="single" w:sz="6" w:space="0" w:color="auto"/>
              <w:left w:val="single" w:sz="6" w:space="0" w:color="auto"/>
              <w:bottom w:val="single" w:sz="6" w:space="0" w:color="auto"/>
              <w:right w:val="single" w:sz="6" w:space="0" w:color="auto"/>
            </w:tcBorders>
            <w:hideMark/>
          </w:tcPr>
          <w:p w:rsidR="006A0CEA" w:rsidRPr="006A0CEA" w:rsidRDefault="006A0CEA" w:rsidP="003B29B3">
            <w:pPr>
              <w:pStyle w:val="toctitle"/>
              <w:tabs>
                <w:tab w:val="left" w:pos="2160"/>
              </w:tabs>
              <w:jc w:val="left"/>
              <w:rPr>
                <w:rFonts w:ascii="Helvetica" w:hAnsi="Helvetica"/>
                <w:b w:val="0"/>
              </w:rPr>
            </w:pPr>
            <w:r w:rsidRPr="006A0CEA">
              <w:rPr>
                <w:rFonts w:ascii="Helvetica" w:hAnsi="Helvetica"/>
                <w:b w:val="0"/>
              </w:rPr>
              <w:t>Initial draft release</w:t>
            </w:r>
            <w:r w:rsidR="00E11D80">
              <w:rPr>
                <w:rFonts w:ascii="Helvetica" w:hAnsi="Helvetica"/>
                <w:b w:val="0"/>
              </w:rPr>
              <w:t xml:space="preserve"> to</w:t>
            </w:r>
            <w:r w:rsidRPr="006A0CEA">
              <w:rPr>
                <w:rFonts w:ascii="Helvetica" w:hAnsi="Helvetica"/>
                <w:b w:val="0"/>
              </w:rPr>
              <w:t xml:space="preserve"> </w:t>
            </w:r>
            <w:r w:rsidR="003B29B3">
              <w:rPr>
                <w:rFonts w:ascii="Helvetica" w:hAnsi="Helvetica"/>
                <w:b w:val="0"/>
              </w:rPr>
              <w:t>PFCR-WG for comment</w:t>
            </w:r>
          </w:p>
        </w:tc>
      </w:tr>
      <w:tr w:rsidR="006A0CEA" w:rsidRPr="006A0CEA" w:rsidTr="003123E4">
        <w:trPr>
          <w:cantSplit/>
        </w:trPr>
        <w:tc>
          <w:tcPr>
            <w:tcW w:w="0" w:type="auto"/>
            <w:tcBorders>
              <w:top w:val="single" w:sz="6" w:space="0" w:color="auto"/>
              <w:left w:val="single" w:sz="6" w:space="0" w:color="auto"/>
              <w:bottom w:val="single" w:sz="6" w:space="0" w:color="auto"/>
              <w:right w:val="single" w:sz="6" w:space="0" w:color="auto"/>
            </w:tcBorders>
          </w:tcPr>
          <w:p w:rsidR="006A0CEA" w:rsidRPr="006A0CEA" w:rsidRDefault="006A0CEA" w:rsidP="003123E4">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6A0CEA" w:rsidRPr="006A0CEA" w:rsidRDefault="006A0CEA" w:rsidP="003123E4">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6A0CEA" w:rsidRPr="006A0CEA" w:rsidRDefault="006A0CEA" w:rsidP="003123E4">
            <w:pPr>
              <w:pStyle w:val="toctitle"/>
              <w:tabs>
                <w:tab w:val="left" w:pos="2160"/>
              </w:tabs>
              <w:jc w:val="left"/>
              <w:rPr>
                <w:rFonts w:ascii="Helvetica" w:hAnsi="Helvetica"/>
                <w:b w:val="0"/>
              </w:rPr>
            </w:pPr>
          </w:p>
        </w:tc>
      </w:tr>
      <w:tr w:rsidR="006A0CEA" w:rsidRPr="006A0CEA" w:rsidTr="003123E4">
        <w:trPr>
          <w:cantSplit/>
        </w:trPr>
        <w:tc>
          <w:tcPr>
            <w:tcW w:w="0" w:type="auto"/>
            <w:tcBorders>
              <w:top w:val="single" w:sz="6" w:space="0" w:color="auto"/>
              <w:left w:val="single" w:sz="6" w:space="0" w:color="auto"/>
              <w:bottom w:val="single" w:sz="6" w:space="0" w:color="auto"/>
              <w:right w:val="single" w:sz="6" w:space="0" w:color="auto"/>
            </w:tcBorders>
          </w:tcPr>
          <w:p w:rsidR="006A0CEA" w:rsidRPr="006A0CEA" w:rsidRDefault="006A0CEA" w:rsidP="003123E4">
            <w:pPr>
              <w:pStyle w:val="toctitle"/>
              <w:tabs>
                <w:tab w:val="left" w:pos="2160"/>
              </w:tabs>
              <w:rPr>
                <w:rFonts w:ascii="Helvetica" w:hAnsi="Helvetica"/>
                <w:b w:val="0"/>
              </w:rPr>
            </w:pPr>
          </w:p>
        </w:tc>
        <w:tc>
          <w:tcPr>
            <w:tcW w:w="0" w:type="auto"/>
            <w:tcBorders>
              <w:top w:val="single" w:sz="6" w:space="0" w:color="auto"/>
              <w:left w:val="single" w:sz="6" w:space="0" w:color="auto"/>
              <w:bottom w:val="single" w:sz="6" w:space="0" w:color="auto"/>
              <w:right w:val="single" w:sz="6" w:space="0" w:color="auto"/>
            </w:tcBorders>
          </w:tcPr>
          <w:p w:rsidR="006A0CEA" w:rsidRPr="006A0CEA" w:rsidRDefault="006A0CEA" w:rsidP="003123E4">
            <w:pPr>
              <w:pStyle w:val="toctitle"/>
              <w:tabs>
                <w:tab w:val="left" w:pos="2160"/>
              </w:tabs>
              <w:rPr>
                <w:rFonts w:ascii="Helvetica" w:hAnsi="Helvetica"/>
                <w:b w:val="0"/>
              </w:rPr>
            </w:pPr>
          </w:p>
        </w:tc>
        <w:tc>
          <w:tcPr>
            <w:tcW w:w="7038" w:type="dxa"/>
            <w:tcBorders>
              <w:top w:val="single" w:sz="6" w:space="0" w:color="auto"/>
              <w:left w:val="single" w:sz="6" w:space="0" w:color="auto"/>
              <w:bottom w:val="single" w:sz="6" w:space="0" w:color="auto"/>
              <w:right w:val="single" w:sz="6" w:space="0" w:color="auto"/>
            </w:tcBorders>
          </w:tcPr>
          <w:p w:rsidR="006A0CEA" w:rsidRPr="006A0CEA" w:rsidRDefault="006A0CEA" w:rsidP="003123E4">
            <w:pPr>
              <w:pStyle w:val="toctitle"/>
              <w:tabs>
                <w:tab w:val="left" w:pos="2160"/>
              </w:tabs>
              <w:jc w:val="left"/>
              <w:rPr>
                <w:rFonts w:ascii="Helvetica" w:hAnsi="Helvetica"/>
                <w:b w:val="0"/>
              </w:rPr>
            </w:pPr>
          </w:p>
        </w:tc>
      </w:tr>
    </w:tbl>
    <w:p w:rsidR="00190E8D" w:rsidRDefault="00190E8D" w:rsidP="008B2BFA">
      <w:pPr>
        <w:rPr>
          <w:rFonts w:ascii="Helvetica" w:hAnsi="Helvetica"/>
        </w:rPr>
      </w:pPr>
    </w:p>
    <w:sectPr w:rsidR="00190E8D" w:rsidSect="00D0234D">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09" w:rsidRDefault="00C40209">
      <w:r>
        <w:separator/>
      </w:r>
    </w:p>
  </w:endnote>
  <w:endnote w:type="continuationSeparator" w:id="0">
    <w:p w:rsidR="00C40209" w:rsidRDefault="00C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82854"/>
      <w:docPartObj>
        <w:docPartGallery w:val="Page Numbers (Bottom of Page)"/>
        <w:docPartUnique/>
      </w:docPartObj>
    </w:sdtPr>
    <w:sdtEndPr>
      <w:rPr>
        <w:noProof/>
      </w:rPr>
    </w:sdtEndPr>
    <w:sdtContent>
      <w:p w:rsidR="008B2BFA" w:rsidRDefault="008B2BFA" w:rsidP="008B2BFA">
        <w:pPr>
          <w:pStyle w:val="Footer"/>
        </w:pPr>
        <w:r>
          <w:t>PCFR-MEMO-013</w:t>
        </w:r>
        <w:r>
          <w:tab/>
        </w:r>
        <w:r>
          <w:tab/>
        </w:r>
        <w:r>
          <w:fldChar w:fldCharType="begin"/>
        </w:r>
        <w:r>
          <w:instrText xml:space="preserve"> PAGE   \* MERGEFORMAT </w:instrText>
        </w:r>
        <w:r>
          <w:fldChar w:fldCharType="separate"/>
        </w:r>
        <w:r>
          <w:rPr>
            <w:noProof/>
          </w:rPr>
          <w:t>3</w:t>
        </w:r>
        <w:r>
          <w:rPr>
            <w:noProof/>
          </w:rPr>
          <w:fldChar w:fldCharType="end"/>
        </w:r>
      </w:p>
    </w:sdtContent>
  </w:sdt>
  <w:p w:rsidR="008B2BFA" w:rsidRDefault="008B2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09" w:rsidRDefault="00C40209">
      <w:r>
        <w:separator/>
      </w:r>
    </w:p>
  </w:footnote>
  <w:footnote w:type="continuationSeparator" w:id="0">
    <w:p w:rsidR="00C40209" w:rsidRDefault="00C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C8" w:rsidRDefault="008B2BFA">
    <w:pPr>
      <w:pStyle w:val="Header"/>
    </w:pPr>
    <w:r>
      <w:rPr>
        <w:noProof/>
      </w:rPr>
      <w:drawing>
        <wp:inline distT="0" distB="0" distL="0" distR="0" wp14:anchorId="3F9C1659" wp14:editId="621239B5">
          <wp:extent cx="5486400" cy="394335"/>
          <wp:effectExtent l="0" t="0" r="0" b="5715"/>
          <wp:docPr id="1"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486400" cy="394335"/>
                  </a:xfrm>
                  <a:prstGeom prst="rect">
                    <a:avLst/>
                  </a:prstGeom>
                </pic:spPr>
              </pic:pic>
            </a:graphicData>
          </a:graphic>
        </wp:inline>
      </w:drawing>
    </w:r>
  </w:p>
  <w:p w:rsidR="00EC5AC8" w:rsidRDefault="00EC5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9CC"/>
    <w:multiLevelType w:val="hybridMultilevel"/>
    <w:tmpl w:val="197C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ACB"/>
    <w:multiLevelType w:val="hybridMultilevel"/>
    <w:tmpl w:val="AB96203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D53B7"/>
    <w:multiLevelType w:val="hybridMultilevel"/>
    <w:tmpl w:val="2774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D0D58"/>
    <w:multiLevelType w:val="hybridMultilevel"/>
    <w:tmpl w:val="4DD0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57233"/>
    <w:multiLevelType w:val="hybridMultilevel"/>
    <w:tmpl w:val="C44C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E1B4A"/>
    <w:multiLevelType w:val="hybridMultilevel"/>
    <w:tmpl w:val="48B83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2689B"/>
    <w:multiLevelType w:val="hybridMultilevel"/>
    <w:tmpl w:val="837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70359"/>
    <w:multiLevelType w:val="hybridMultilevel"/>
    <w:tmpl w:val="9732E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84F92"/>
    <w:multiLevelType w:val="hybridMultilevel"/>
    <w:tmpl w:val="9732E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94325"/>
    <w:multiLevelType w:val="hybridMultilevel"/>
    <w:tmpl w:val="9732E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81A66"/>
    <w:multiLevelType w:val="hybridMultilevel"/>
    <w:tmpl w:val="C0C0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D1BF7"/>
    <w:multiLevelType w:val="hybridMultilevel"/>
    <w:tmpl w:val="AB96203E"/>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997E84"/>
    <w:multiLevelType w:val="hybridMultilevel"/>
    <w:tmpl w:val="A94AF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238A6"/>
    <w:multiLevelType w:val="hybridMultilevel"/>
    <w:tmpl w:val="90B602E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F311A8"/>
    <w:multiLevelType w:val="hybridMultilevel"/>
    <w:tmpl w:val="DEAADF8E"/>
    <w:lvl w:ilvl="0" w:tplc="04090001">
      <w:start w:val="1"/>
      <w:numFmt w:val="bullet"/>
      <w:lvlText w:val="-"/>
      <w:lvlJc w:val="left"/>
      <w:pPr>
        <w:ind w:left="1080" w:hanging="360"/>
      </w:pPr>
      <w:rPr>
        <w:rFonts w:ascii="Helvetica" w:hAnsi="Helvetic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1754C3"/>
    <w:multiLevelType w:val="hybridMultilevel"/>
    <w:tmpl w:val="AB96203E"/>
    <w:lvl w:ilvl="0" w:tplc="04090001">
      <w:start w:val="1"/>
      <w:numFmt w:val="bullet"/>
      <w:lvlText w:val="-"/>
      <w:lvlJc w:val="left"/>
      <w:pPr>
        <w:ind w:left="1080" w:hanging="360"/>
      </w:pPr>
      <w:rPr>
        <w:rFonts w:ascii="Helvetica" w:hAnsi="Helvetica"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3"/>
  </w:num>
  <w:num w:numId="4">
    <w:abstractNumId w:val="6"/>
  </w:num>
  <w:num w:numId="5">
    <w:abstractNumId w:val="2"/>
  </w:num>
  <w:num w:numId="6">
    <w:abstractNumId w:val="11"/>
  </w:num>
  <w:num w:numId="7">
    <w:abstractNumId w:val="15"/>
  </w:num>
  <w:num w:numId="8">
    <w:abstractNumId w:val="1"/>
  </w:num>
  <w:num w:numId="9">
    <w:abstractNumId w:val="14"/>
  </w:num>
  <w:num w:numId="10">
    <w:abstractNumId w:val="10"/>
  </w:num>
  <w:num w:numId="11">
    <w:abstractNumId w:val="3"/>
  </w:num>
  <w:num w:numId="12">
    <w:abstractNumId w:val="8"/>
  </w:num>
  <w:num w:numId="13">
    <w:abstractNumId w:val="12"/>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CA"/>
    <w:rsid w:val="00004BEE"/>
    <w:rsid w:val="000922D2"/>
    <w:rsid w:val="000A32A0"/>
    <w:rsid w:val="00147967"/>
    <w:rsid w:val="00151199"/>
    <w:rsid w:val="00151F72"/>
    <w:rsid w:val="0015506B"/>
    <w:rsid w:val="00166C5A"/>
    <w:rsid w:val="0017063F"/>
    <w:rsid w:val="001714BF"/>
    <w:rsid w:val="00174A03"/>
    <w:rsid w:val="00190E8D"/>
    <w:rsid w:val="00206A9E"/>
    <w:rsid w:val="0021002D"/>
    <w:rsid w:val="00221B2C"/>
    <w:rsid w:val="00226E26"/>
    <w:rsid w:val="002874B1"/>
    <w:rsid w:val="00374950"/>
    <w:rsid w:val="003841C4"/>
    <w:rsid w:val="003B29B3"/>
    <w:rsid w:val="003C6455"/>
    <w:rsid w:val="003E07D9"/>
    <w:rsid w:val="004056FF"/>
    <w:rsid w:val="004310A1"/>
    <w:rsid w:val="00464877"/>
    <w:rsid w:val="004D3BC5"/>
    <w:rsid w:val="004F60B4"/>
    <w:rsid w:val="004F7B33"/>
    <w:rsid w:val="00504704"/>
    <w:rsid w:val="005346BC"/>
    <w:rsid w:val="00553D89"/>
    <w:rsid w:val="00585A44"/>
    <w:rsid w:val="00587D46"/>
    <w:rsid w:val="005A5D07"/>
    <w:rsid w:val="005C50D4"/>
    <w:rsid w:val="005F4B54"/>
    <w:rsid w:val="006072C9"/>
    <w:rsid w:val="006225CA"/>
    <w:rsid w:val="00635D66"/>
    <w:rsid w:val="006474D8"/>
    <w:rsid w:val="0069232A"/>
    <w:rsid w:val="00692B4A"/>
    <w:rsid w:val="00693EE8"/>
    <w:rsid w:val="006A0CEA"/>
    <w:rsid w:val="006A0FAE"/>
    <w:rsid w:val="006A5E60"/>
    <w:rsid w:val="006E4841"/>
    <w:rsid w:val="007159B7"/>
    <w:rsid w:val="00776FE0"/>
    <w:rsid w:val="007A332B"/>
    <w:rsid w:val="007F0562"/>
    <w:rsid w:val="007F631E"/>
    <w:rsid w:val="00801822"/>
    <w:rsid w:val="00855E1D"/>
    <w:rsid w:val="008A1DC3"/>
    <w:rsid w:val="008A25A0"/>
    <w:rsid w:val="008B2BFA"/>
    <w:rsid w:val="008C6297"/>
    <w:rsid w:val="008E2A55"/>
    <w:rsid w:val="008F3734"/>
    <w:rsid w:val="0090179F"/>
    <w:rsid w:val="00924DDD"/>
    <w:rsid w:val="009554B6"/>
    <w:rsid w:val="00975BE7"/>
    <w:rsid w:val="009D3363"/>
    <w:rsid w:val="009D4991"/>
    <w:rsid w:val="009F76B5"/>
    <w:rsid w:val="00A0403E"/>
    <w:rsid w:val="00A04E56"/>
    <w:rsid w:val="00A24A6C"/>
    <w:rsid w:val="00A43F0B"/>
    <w:rsid w:val="00A56F37"/>
    <w:rsid w:val="00A6497E"/>
    <w:rsid w:val="00A654F5"/>
    <w:rsid w:val="00A75640"/>
    <w:rsid w:val="00AB00CE"/>
    <w:rsid w:val="00AC3390"/>
    <w:rsid w:val="00AD5324"/>
    <w:rsid w:val="00AE5407"/>
    <w:rsid w:val="00AF4973"/>
    <w:rsid w:val="00B06805"/>
    <w:rsid w:val="00B105B0"/>
    <w:rsid w:val="00B33F43"/>
    <w:rsid w:val="00B6737E"/>
    <w:rsid w:val="00BD0D6E"/>
    <w:rsid w:val="00C00F6D"/>
    <w:rsid w:val="00C05370"/>
    <w:rsid w:val="00C40209"/>
    <w:rsid w:val="00C44955"/>
    <w:rsid w:val="00C63458"/>
    <w:rsid w:val="00C66937"/>
    <w:rsid w:val="00CA5B80"/>
    <w:rsid w:val="00CC1CDE"/>
    <w:rsid w:val="00CF6075"/>
    <w:rsid w:val="00D0234D"/>
    <w:rsid w:val="00D03961"/>
    <w:rsid w:val="00D05513"/>
    <w:rsid w:val="00D16C76"/>
    <w:rsid w:val="00D60079"/>
    <w:rsid w:val="00D655F5"/>
    <w:rsid w:val="00D8504C"/>
    <w:rsid w:val="00D92598"/>
    <w:rsid w:val="00DC3E2E"/>
    <w:rsid w:val="00DD379E"/>
    <w:rsid w:val="00DE0DE5"/>
    <w:rsid w:val="00E0592B"/>
    <w:rsid w:val="00E11D80"/>
    <w:rsid w:val="00E2422C"/>
    <w:rsid w:val="00E34D81"/>
    <w:rsid w:val="00E8228E"/>
    <w:rsid w:val="00E82402"/>
    <w:rsid w:val="00E9449B"/>
    <w:rsid w:val="00EC5AC8"/>
    <w:rsid w:val="00ED2327"/>
    <w:rsid w:val="00EE2621"/>
    <w:rsid w:val="00EE7503"/>
    <w:rsid w:val="00EF2DD1"/>
    <w:rsid w:val="00EF7FBF"/>
    <w:rsid w:val="00F14D3B"/>
    <w:rsid w:val="00F3673B"/>
    <w:rsid w:val="00F52B42"/>
    <w:rsid w:val="00F7526D"/>
    <w:rsid w:val="00F94A35"/>
    <w:rsid w:val="00F95643"/>
    <w:rsid w:val="00FC04E9"/>
    <w:rsid w:val="00FC483F"/>
    <w:rsid w:val="00FD2E8F"/>
    <w:rsid w:val="00FF5C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unhideWhenUsed/>
    <w:rsid w:val="006225CA"/>
    <w:pPr>
      <w:tabs>
        <w:tab w:val="center" w:pos="4320"/>
        <w:tab w:val="right" w:pos="8640"/>
      </w:tabs>
    </w:pPr>
  </w:style>
  <w:style w:type="character" w:customStyle="1" w:styleId="HeaderChar">
    <w:name w:val="Header Char"/>
    <w:basedOn w:val="DefaultParagraphFont"/>
    <w:link w:val="Header"/>
    <w:uiPriority w:val="99"/>
    <w:rsid w:val="006225CA"/>
    <w:rPr>
      <w:sz w:val="24"/>
      <w:szCs w:val="24"/>
    </w:rPr>
  </w:style>
  <w:style w:type="paragraph" w:styleId="Footer">
    <w:name w:val="footer"/>
    <w:basedOn w:val="Normal"/>
    <w:link w:val="FooterChar"/>
    <w:uiPriority w:val="99"/>
    <w:unhideWhenUsed/>
    <w:rsid w:val="006225CA"/>
    <w:pPr>
      <w:tabs>
        <w:tab w:val="center" w:pos="4320"/>
        <w:tab w:val="right" w:pos="8640"/>
      </w:tabs>
    </w:pPr>
  </w:style>
  <w:style w:type="character" w:customStyle="1" w:styleId="FooterChar">
    <w:name w:val="Footer Char"/>
    <w:basedOn w:val="DefaultParagraphFont"/>
    <w:link w:val="Footer"/>
    <w:uiPriority w:val="99"/>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6E4841"/>
    <w:rPr>
      <w:rFonts w:ascii="Tahoma" w:hAnsi="Tahoma" w:cs="Tahoma"/>
      <w:sz w:val="16"/>
      <w:szCs w:val="16"/>
    </w:rPr>
  </w:style>
  <w:style w:type="character" w:customStyle="1" w:styleId="BalloonTextChar">
    <w:name w:val="Balloon Text Char"/>
    <w:basedOn w:val="DefaultParagraphFont"/>
    <w:link w:val="BalloonText"/>
    <w:rsid w:val="006E4841"/>
    <w:rPr>
      <w:rFonts w:ascii="Tahoma" w:hAnsi="Tahoma" w:cs="Tahoma"/>
      <w:sz w:val="16"/>
      <w:szCs w:val="16"/>
    </w:rPr>
  </w:style>
  <w:style w:type="paragraph" w:styleId="Caption">
    <w:name w:val="caption"/>
    <w:basedOn w:val="Normal"/>
    <w:next w:val="Normal"/>
    <w:rsid w:val="008C6297"/>
    <w:pPr>
      <w:spacing w:after="200"/>
    </w:pPr>
    <w:rPr>
      <w:b/>
      <w:bCs/>
      <w:color w:val="4F81BD" w:themeColor="accent1"/>
      <w:sz w:val="18"/>
      <w:szCs w:val="18"/>
    </w:rPr>
  </w:style>
  <w:style w:type="paragraph" w:customStyle="1" w:styleId="toctitle">
    <w:name w:val="toc title"/>
    <w:basedOn w:val="TOC1"/>
    <w:rsid w:val="006A0CEA"/>
    <w:pPr>
      <w:tabs>
        <w:tab w:val="right" w:pos="9720"/>
      </w:tabs>
      <w:spacing w:line="320" w:lineRule="atLeast"/>
      <w:jc w:val="center"/>
    </w:pPr>
    <w:rPr>
      <w:rFonts w:ascii="New York" w:eastAsia="Times New Roman" w:hAnsi="New York" w:cs="New York"/>
      <w:b/>
      <w:szCs w:val="22"/>
    </w:rPr>
  </w:style>
  <w:style w:type="character" w:styleId="Hyperlink">
    <w:name w:val="Hyperlink"/>
    <w:basedOn w:val="DefaultParagraphFont"/>
    <w:rsid w:val="00FC04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unhideWhenUsed/>
    <w:rsid w:val="006225CA"/>
    <w:pPr>
      <w:tabs>
        <w:tab w:val="center" w:pos="4320"/>
        <w:tab w:val="right" w:pos="8640"/>
      </w:tabs>
    </w:pPr>
  </w:style>
  <w:style w:type="character" w:customStyle="1" w:styleId="HeaderChar">
    <w:name w:val="Header Char"/>
    <w:basedOn w:val="DefaultParagraphFont"/>
    <w:link w:val="Header"/>
    <w:uiPriority w:val="99"/>
    <w:rsid w:val="006225CA"/>
    <w:rPr>
      <w:sz w:val="24"/>
      <w:szCs w:val="24"/>
    </w:rPr>
  </w:style>
  <w:style w:type="paragraph" w:styleId="Footer">
    <w:name w:val="footer"/>
    <w:basedOn w:val="Normal"/>
    <w:link w:val="FooterChar"/>
    <w:uiPriority w:val="99"/>
    <w:unhideWhenUsed/>
    <w:rsid w:val="006225CA"/>
    <w:pPr>
      <w:tabs>
        <w:tab w:val="center" w:pos="4320"/>
        <w:tab w:val="right" w:pos="8640"/>
      </w:tabs>
    </w:pPr>
  </w:style>
  <w:style w:type="character" w:customStyle="1" w:styleId="FooterChar">
    <w:name w:val="Footer Char"/>
    <w:basedOn w:val="DefaultParagraphFont"/>
    <w:link w:val="Footer"/>
    <w:uiPriority w:val="99"/>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6E4841"/>
    <w:rPr>
      <w:rFonts w:ascii="Tahoma" w:hAnsi="Tahoma" w:cs="Tahoma"/>
      <w:sz w:val="16"/>
      <w:szCs w:val="16"/>
    </w:rPr>
  </w:style>
  <w:style w:type="character" w:customStyle="1" w:styleId="BalloonTextChar">
    <w:name w:val="Balloon Text Char"/>
    <w:basedOn w:val="DefaultParagraphFont"/>
    <w:link w:val="BalloonText"/>
    <w:rsid w:val="006E4841"/>
    <w:rPr>
      <w:rFonts w:ascii="Tahoma" w:hAnsi="Tahoma" w:cs="Tahoma"/>
      <w:sz w:val="16"/>
      <w:szCs w:val="16"/>
    </w:rPr>
  </w:style>
  <w:style w:type="paragraph" w:styleId="Caption">
    <w:name w:val="caption"/>
    <w:basedOn w:val="Normal"/>
    <w:next w:val="Normal"/>
    <w:rsid w:val="008C6297"/>
    <w:pPr>
      <w:spacing w:after="200"/>
    </w:pPr>
    <w:rPr>
      <w:b/>
      <w:bCs/>
      <w:color w:val="4F81BD" w:themeColor="accent1"/>
      <w:sz w:val="18"/>
      <w:szCs w:val="18"/>
    </w:rPr>
  </w:style>
  <w:style w:type="paragraph" w:customStyle="1" w:styleId="toctitle">
    <w:name w:val="toc title"/>
    <w:basedOn w:val="TOC1"/>
    <w:rsid w:val="006A0CEA"/>
    <w:pPr>
      <w:tabs>
        <w:tab w:val="right" w:pos="9720"/>
      </w:tabs>
      <w:spacing w:line="320" w:lineRule="atLeast"/>
      <w:jc w:val="center"/>
    </w:pPr>
    <w:rPr>
      <w:rFonts w:ascii="New York" w:eastAsia="Times New Roman" w:hAnsi="New York" w:cs="New York"/>
      <w:b/>
      <w:szCs w:val="22"/>
    </w:rPr>
  </w:style>
  <w:style w:type="character" w:styleId="Hyperlink">
    <w:name w:val="Hyperlink"/>
    <w:basedOn w:val="DefaultParagraphFont"/>
    <w:rsid w:val="00FC0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5D7D-36C1-4DF9-8535-477B6DC3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PPPL</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Neumeyer</dc:creator>
  <cp:lastModifiedBy>Matthew Reinke</cp:lastModifiedBy>
  <cp:revision>38</cp:revision>
  <cp:lastPrinted>2018-02-07T13:03:00Z</cp:lastPrinted>
  <dcterms:created xsi:type="dcterms:W3CDTF">2018-02-07T13:03:00Z</dcterms:created>
  <dcterms:modified xsi:type="dcterms:W3CDTF">2018-02-20T23:43:00Z</dcterms:modified>
</cp:coreProperties>
</file>