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614BA" w14:textId="77777777" w:rsidR="007E7062" w:rsidRDefault="007E7062" w:rsidP="007E7062">
      <w:pPr>
        <w:rPr>
          <w:rFonts w:ascii="Helvetica Neue" w:eastAsia="Helvetica Neue" w:hAnsi="Helvetica Neue" w:cs="Helvetica Neue"/>
          <w:b/>
          <w:i/>
          <w:smallCaps/>
        </w:rPr>
      </w:pPr>
    </w:p>
    <w:p w14:paraId="286FE4CB" w14:textId="56BA889E" w:rsidR="007E7062" w:rsidRDefault="007E7062" w:rsidP="007E7062">
      <w:pPr>
        <w:rPr>
          <w:rFonts w:ascii="Helvetica Neue" w:eastAsia="Helvetica Neue" w:hAnsi="Helvetica Neue" w:cs="Helvetica Neue"/>
          <w:b/>
          <w:i/>
          <w:smallCaps/>
        </w:rPr>
      </w:pPr>
      <w:r>
        <w:rPr>
          <w:rFonts w:ascii="Helvetica Neue" w:eastAsia="Helvetica Neue" w:hAnsi="Helvetica Neue" w:cs="Helvetica Neue"/>
          <w:b/>
          <w:i/>
          <w:smallCaps/>
        </w:rPr>
        <w:t xml:space="preserve">TO: </w:t>
      </w:r>
      <w:r>
        <w:rPr>
          <w:rFonts w:ascii="Helvetica Neue" w:eastAsia="Helvetica Neue" w:hAnsi="Helvetica Neue" w:cs="Helvetica Neue"/>
          <w:b/>
          <w:i/>
          <w:smallCaps/>
        </w:rPr>
        <w:t>S.P. Gerhardt, D. Loesser and J. Menard</w:t>
      </w:r>
    </w:p>
    <w:p w14:paraId="67A900DB" w14:textId="19D77B25" w:rsidR="007E7062" w:rsidRDefault="007E7062" w:rsidP="007E7062">
      <w:pPr>
        <w:rPr>
          <w:rFonts w:ascii="Helvetica Neue" w:eastAsia="Helvetica Neue" w:hAnsi="Helvetica Neue" w:cs="Helvetica Neue"/>
          <w:b/>
          <w:i/>
          <w:smallCaps/>
        </w:rPr>
      </w:pPr>
      <w:r>
        <w:rPr>
          <w:rFonts w:ascii="Helvetica Neue" w:eastAsia="Helvetica Neue" w:hAnsi="Helvetica Neue" w:cs="Helvetica Neue"/>
          <w:b/>
          <w:i/>
          <w:smallCaps/>
        </w:rPr>
        <w:t>FROM:</w:t>
      </w:r>
      <w:r>
        <w:rPr>
          <w:rFonts w:ascii="Helvetica Neue" w:eastAsia="Helvetica Neue" w:hAnsi="Helvetica Neue" w:cs="Helvetica Neue"/>
          <w:b/>
          <w:i/>
          <w:smallCaps/>
        </w:rPr>
        <w:t xml:space="preserve"> N.M. Ferraro </w:t>
      </w:r>
    </w:p>
    <w:p w14:paraId="6D2684A4" w14:textId="4EFA2B34" w:rsidR="003F3E6C" w:rsidRDefault="007E7062" w:rsidP="007E7062">
      <w:pPr>
        <w:rPr>
          <w:rFonts w:ascii="Helvetica Neue" w:eastAsia="Helvetica Neue" w:hAnsi="Helvetica Neue" w:cs="Helvetica Neue"/>
          <w:b/>
          <w:i/>
          <w:smallCaps/>
        </w:rPr>
      </w:pPr>
      <w:r>
        <w:rPr>
          <w:rFonts w:ascii="Helvetica Neue" w:eastAsia="Helvetica Neue" w:hAnsi="Helvetica Neue" w:cs="Helvetica Neue"/>
          <w:b/>
          <w:i/>
          <w:smallCaps/>
        </w:rPr>
        <w:t xml:space="preserve">SUBJECT: </w:t>
      </w:r>
      <w:r w:rsidRPr="007E7062">
        <w:rPr>
          <w:rFonts w:ascii="Helvetica Neue" w:eastAsia="Helvetica Neue" w:hAnsi="Helvetica Neue" w:cs="Helvetica Neue"/>
          <w:b/>
          <w:i/>
          <w:smallCaps/>
        </w:rPr>
        <w:t xml:space="preserve">Impact of Non-Axisymmetric Fields on </w:t>
      </w:r>
      <w:r w:rsidR="00BE24D5">
        <w:rPr>
          <w:rFonts w:ascii="Helvetica Neue" w:eastAsia="Helvetica Neue" w:hAnsi="Helvetica Neue" w:cs="Helvetica Neue"/>
          <w:b/>
          <w:i/>
          <w:smallCaps/>
        </w:rPr>
        <w:t xml:space="preserve">PFC Heat Flux </w:t>
      </w:r>
      <w:proofErr w:type="gramStart"/>
      <w:r w:rsidR="00BE24D5">
        <w:rPr>
          <w:rFonts w:ascii="Helvetica Neue" w:eastAsia="Helvetica Neue" w:hAnsi="Helvetica Neue" w:cs="Helvetica Neue"/>
          <w:b/>
          <w:i/>
          <w:smallCaps/>
        </w:rPr>
        <w:t xml:space="preserve">in </w:t>
      </w:r>
      <w:r w:rsidRPr="007E7062">
        <w:rPr>
          <w:rFonts w:ascii="Helvetica Neue" w:eastAsia="Helvetica Neue" w:hAnsi="Helvetica Neue" w:cs="Helvetica Neue"/>
          <w:b/>
          <w:i/>
          <w:smallCaps/>
        </w:rPr>
        <w:t xml:space="preserve"> NSTX</w:t>
      </w:r>
      <w:proofErr w:type="gramEnd"/>
      <w:r w:rsidRPr="007E7062">
        <w:rPr>
          <w:rFonts w:ascii="Helvetica Neue" w:eastAsia="Helvetica Neue" w:hAnsi="Helvetica Neue" w:cs="Helvetica Neue"/>
          <w:b/>
          <w:i/>
          <w:smallCaps/>
        </w:rPr>
        <w:t>-U</w:t>
      </w:r>
      <w:r>
        <w:rPr>
          <w:rFonts w:ascii="Helvetica Neue" w:eastAsia="Helvetica Neue" w:hAnsi="Helvetica Neue" w:cs="Helvetica Neue"/>
          <w:b/>
          <w:i/>
          <w:smallCaps/>
        </w:rPr>
        <w:t xml:space="preserve"> PART 1: </w:t>
      </w:r>
      <w:r w:rsidR="007022D0">
        <w:rPr>
          <w:rFonts w:ascii="Helvetica Neue" w:eastAsia="Helvetica Neue" w:hAnsi="Helvetica Neue" w:cs="Helvetica Neue"/>
          <w:b/>
          <w:i/>
          <w:smallCaps/>
        </w:rPr>
        <w:t>Toroidal Field Rod Misalignment</w:t>
      </w:r>
    </w:p>
    <w:p w14:paraId="06162008" w14:textId="77777777" w:rsidR="007E7062" w:rsidRPr="007E7062" w:rsidRDefault="007E7062" w:rsidP="007E7062">
      <w:pPr>
        <w:rPr>
          <w:rFonts w:ascii="Helvetica Neue" w:eastAsia="Helvetica Neue" w:hAnsi="Helvetica Neue" w:cs="Helvetica Neue"/>
          <w:b/>
          <w:i/>
          <w:smallCaps/>
        </w:rPr>
      </w:pPr>
    </w:p>
    <w:p w14:paraId="2B9925D1" w14:textId="7E2ECF81" w:rsidR="00960441" w:rsidRDefault="007022D0" w:rsidP="007E7062">
      <w:pPr>
        <w:pStyle w:val="Heading2"/>
      </w:pPr>
      <w:r>
        <w:t>Summary</w:t>
      </w:r>
    </w:p>
    <w:p w14:paraId="0CF87922" w14:textId="77777777" w:rsidR="007E7062" w:rsidRDefault="007E7062" w:rsidP="007E7062"/>
    <w:p w14:paraId="7E61DD77" w14:textId="479E8FB0" w:rsidR="007E7062" w:rsidRDefault="007E7062" w:rsidP="007E7062">
      <w:pPr>
        <w:jc w:val="both"/>
      </w:pPr>
      <w:r>
        <w:t>The impact of non-axisymmetric fields on the heat flux to the plasma facing components is important to consid</w:t>
      </w:r>
      <w:r w:rsidR="007022D0">
        <w:t xml:space="preserve">er for the integrated design </w:t>
      </w:r>
      <w:r w:rsidR="00BE24D5">
        <w:t>of</w:t>
      </w:r>
      <w:r w:rsidR="007022D0">
        <w:t xml:space="preserve"> the </w:t>
      </w:r>
      <w:r>
        <w:t>NSTX-U</w:t>
      </w:r>
      <w:r w:rsidR="007022D0">
        <w:t xml:space="preserve"> Recovery Project</w:t>
      </w:r>
      <w:r>
        <w:t>.  This do</w:t>
      </w:r>
      <w:r w:rsidR="007022D0">
        <w:t xml:space="preserve">cument examines the impact of misalignments of the </w:t>
      </w:r>
      <w:r>
        <w:t xml:space="preserve">NSTX-U </w:t>
      </w:r>
      <w:r w:rsidR="007022D0">
        <w:t>TF bundle</w:t>
      </w:r>
      <w:r>
        <w:t xml:space="preserve"> that was measured during the F</w:t>
      </w:r>
      <w:r w:rsidR="007022D0">
        <w:t>Y16 operations.  Impacts on PFCs were computed by looking at M3D-C</w:t>
      </w:r>
      <w:r w:rsidR="007022D0" w:rsidRPr="007022D0">
        <w:rPr>
          <w:vertAlign w:val="superscript"/>
        </w:rPr>
        <w:t>1</w:t>
      </w:r>
      <w:r w:rsidR="007022D0">
        <w:t xml:space="preserve"> predicted changes i</w:t>
      </w:r>
      <w:r w:rsidR="00BE24D5">
        <w:t xml:space="preserve">n the field line impact angle at the horizontal (IBDH) and vertical (IBDV) </w:t>
      </w:r>
      <w:proofErr w:type="spellStart"/>
      <w:r w:rsidR="00BE24D5">
        <w:t>divertor</w:t>
      </w:r>
      <w:proofErr w:type="spellEnd"/>
      <w:r w:rsidR="00BE24D5">
        <w:t xml:space="preserve"> surfaces.  Vacuum field calculations </w:t>
      </w:r>
      <w:r w:rsidR="00C514C2">
        <w:t xml:space="preserve">showed an n=1 perturbation to the </w:t>
      </w:r>
      <w:r w:rsidR="00046866">
        <w:t>IBDV impact angle of ~ 0.43</w:t>
      </w:r>
      <w:r w:rsidR="00C514C2" w:rsidRPr="00C514C2">
        <w:rPr>
          <w:vertAlign w:val="superscript"/>
        </w:rPr>
        <w:t>o</w:t>
      </w:r>
      <w:r w:rsidR="00C514C2">
        <w:t xml:space="preserve"> which were not significantly impacted when examining resistive MHD solutions.  Vacuum field calculations showed an n=1 perturbation on the IBDH</w:t>
      </w:r>
      <w:r w:rsidR="00684390">
        <w:t xml:space="preserve"> of</w:t>
      </w:r>
      <w:r w:rsidR="00046866">
        <w:t xml:space="preserve"> </w:t>
      </w:r>
      <w:proofErr w:type="gramStart"/>
      <w:r w:rsidR="00046866">
        <w:t>&lt;  0.10</w:t>
      </w:r>
      <w:r w:rsidR="00C514C2" w:rsidRPr="00C514C2">
        <w:rPr>
          <w:vertAlign w:val="superscript"/>
        </w:rPr>
        <w:t>o</w:t>
      </w:r>
      <w:proofErr w:type="gramEnd"/>
      <w:r w:rsidR="009D74DF">
        <w:t xml:space="preserve">  but showed up to a factor of three enhancement from the plasma response using M3D-C</w:t>
      </w:r>
      <w:r w:rsidR="009D74DF" w:rsidRPr="009D74DF">
        <w:rPr>
          <w:vertAlign w:val="superscript"/>
        </w:rPr>
        <w:t>1</w:t>
      </w:r>
      <w:r w:rsidR="009D74DF">
        <w:t>, but were sensitive to the details of the simulation.</w:t>
      </w:r>
    </w:p>
    <w:p w14:paraId="280DEE8B" w14:textId="77777777" w:rsidR="00645482" w:rsidRDefault="00645482" w:rsidP="007E7062">
      <w:pPr>
        <w:jc w:val="both"/>
      </w:pPr>
    </w:p>
    <w:p w14:paraId="61A055E1" w14:textId="36A9A4D0" w:rsidR="007E7062" w:rsidRPr="00046866" w:rsidRDefault="009D74DF" w:rsidP="00046866">
      <w:pPr>
        <w:jc w:val="both"/>
      </w:pPr>
      <w:r>
        <w:t>Changes in the</w:t>
      </w:r>
      <w:r w:rsidR="00046866">
        <w:t xml:space="preserve"> TF alignment motivated by reducing the impact on locked modes</w:t>
      </w:r>
      <w:r w:rsidR="00684390">
        <w:t xml:space="preserve"> [REF]</w:t>
      </w:r>
      <w:r w:rsidR="00046866">
        <w:t xml:space="preserve"> are expected to reduce this </w:t>
      </w:r>
      <w:bookmarkStart w:id="0" w:name="_GoBack"/>
      <w:bookmarkEnd w:id="0"/>
      <w:r w:rsidR="00046866">
        <w:t>error field source by approximately a factor of three.  This should make the impact on the IBDV and IBDH heat flux manageable, although perhaps not ignorable and thus important to confirm during commissioning.  The total impact of error fields should be examined within context of other poloidal field coil misalignments which will be the focus of future MEMOs.</w:t>
      </w:r>
    </w:p>
    <w:p w14:paraId="46904BCF" w14:textId="28B92528" w:rsidR="000A5849" w:rsidRPr="000A5849" w:rsidRDefault="000A5849" w:rsidP="000A5849">
      <w:pPr>
        <w:pStyle w:val="Heading2"/>
      </w:pPr>
      <w:r>
        <w:t>Equilibrium</w:t>
      </w:r>
    </w:p>
    <w:p w14:paraId="25B761D7" w14:textId="0F3AA276" w:rsidR="00B34858" w:rsidRDefault="005D7114" w:rsidP="00DA6027">
      <w:pPr>
        <w:jc w:val="center"/>
      </w:pPr>
      <w:r>
        <w:rPr>
          <w:noProof/>
        </w:rPr>
        <w:drawing>
          <wp:inline distT="0" distB="0" distL="0" distR="0" wp14:anchorId="02531CD8" wp14:editId="078C90A7">
            <wp:extent cx="2281989" cy="2121091"/>
            <wp:effectExtent l="0" t="0" r="0" b="0"/>
            <wp:docPr id="8" name="Picture 8" descr="Macintosh HD:Users:nferraro:data:NSTX-U:116313:116313_eq_shap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ferraro:data:NSTX-U:116313:116313_eq_shape.eps"/>
                    <pic:cNvPicPr>
                      <a:picLocks noChangeAspect="1" noChangeArrowheads="1"/>
                    </pic:cNvPicPr>
                  </pic:nvPicPr>
                  <pic:blipFill rotWithShape="1">
                    <a:blip r:embed="rId9">
                      <a:extLst>
                        <a:ext uri="{28A0092B-C50C-407E-A947-70E740481C1C}">
                          <a14:useLocalDpi xmlns:a14="http://schemas.microsoft.com/office/drawing/2010/main" val="0"/>
                        </a:ext>
                      </a:extLst>
                    </a:blip>
                    <a:srcRect r="23246"/>
                    <a:stretch/>
                  </pic:blipFill>
                  <pic:spPr bwMode="auto">
                    <a:xfrm>
                      <a:off x="0" y="0"/>
                      <a:ext cx="2282220" cy="2121306"/>
                    </a:xfrm>
                    <a:prstGeom prst="rect">
                      <a:avLst/>
                    </a:prstGeom>
                    <a:noFill/>
                    <a:ln>
                      <a:noFill/>
                    </a:ln>
                    <a:extLst>
                      <a:ext uri="{53640926-AAD7-44D8-BBD7-CCE9431645EC}">
                        <a14:shadowObscured xmlns:a14="http://schemas.microsoft.com/office/drawing/2010/main"/>
                      </a:ext>
                    </a:extLst>
                  </pic:spPr>
                </pic:pic>
              </a:graphicData>
            </a:graphic>
          </wp:inline>
        </w:drawing>
      </w:r>
    </w:p>
    <w:p w14:paraId="3CDD79C3" w14:textId="73ED08E3" w:rsidR="00B34858" w:rsidRDefault="00B34858" w:rsidP="00B34858">
      <w:pPr>
        <w:pStyle w:val="Caption"/>
      </w:pPr>
      <w:bookmarkStart w:id="1" w:name="_Ref359506678"/>
      <w:r>
        <w:t xml:space="preserve">Figure </w:t>
      </w:r>
      <w:r w:rsidR="00960441">
        <w:fldChar w:fldCharType="begin"/>
      </w:r>
      <w:r w:rsidR="00960441">
        <w:instrText xml:space="preserve"> SEQ Figure \* ARABIC </w:instrText>
      </w:r>
      <w:r w:rsidR="00960441">
        <w:fldChar w:fldCharType="separate"/>
      </w:r>
      <w:r w:rsidR="00CC1BC1">
        <w:rPr>
          <w:noProof/>
        </w:rPr>
        <w:t>1</w:t>
      </w:r>
      <w:r w:rsidR="00960441">
        <w:rPr>
          <w:noProof/>
        </w:rPr>
        <w:fldChar w:fldCharType="end"/>
      </w:r>
      <w:bookmarkEnd w:id="1"/>
      <w:r>
        <w:t>—</w:t>
      </w:r>
      <w:proofErr w:type="gramStart"/>
      <w:r>
        <w:t>The</w:t>
      </w:r>
      <w:proofErr w:type="gramEnd"/>
      <w:r>
        <w:t xml:space="preserve"> magnetic geometry in the lower </w:t>
      </w:r>
      <w:proofErr w:type="spellStart"/>
      <w:r>
        <w:t>divertor</w:t>
      </w:r>
      <w:proofErr w:type="spellEnd"/>
      <w:r>
        <w:t xml:space="preserve"> region </w:t>
      </w:r>
      <w:r w:rsidR="00DA6027">
        <w:t xml:space="preserve">in the original </w:t>
      </w:r>
      <w:r w:rsidR="004B6BCF">
        <w:t>LRD</w:t>
      </w:r>
      <w:r w:rsidR="00DA6027">
        <w:t>FIT g-file (</w:t>
      </w:r>
      <w:r w:rsidR="00DA6027" w:rsidRPr="007E7062">
        <w:rPr>
          <w:b/>
        </w:rPr>
        <w:t>black line</w:t>
      </w:r>
      <w:r w:rsidR="00DA6027">
        <w:t>) and for the recalculated M3D-C1 equilibrium (</w:t>
      </w:r>
      <w:r w:rsidR="00DA6027" w:rsidRPr="007E7062">
        <w:rPr>
          <w:b/>
          <w:color w:val="FF0000"/>
        </w:rPr>
        <w:t>red line</w:t>
      </w:r>
      <w:r w:rsidR="00DA6027">
        <w:t>).</w:t>
      </w:r>
    </w:p>
    <w:p w14:paraId="08D0A4A0" w14:textId="62E2EB88" w:rsidR="009F2B76" w:rsidRDefault="009F2B76" w:rsidP="007E7062">
      <w:pPr>
        <w:jc w:val="both"/>
      </w:pPr>
      <w:r>
        <w:t>For this study, we have used the model equilibrium NSTX-U 115313.00851_NfHz0+_0.  This is an H-mode equilibrium with IP=2 MA and BT=1 T.  In order to get an accurate response calculation, M3D-C1 re-solves the Grad-</w:t>
      </w:r>
      <w:proofErr w:type="spellStart"/>
      <w:r>
        <w:t>Shafranov</w:t>
      </w:r>
      <w:proofErr w:type="spellEnd"/>
      <w:r>
        <w:t xml:space="preserve"> equation on its own </w:t>
      </w:r>
      <w:r>
        <w:lastRenderedPageBreak/>
        <w:t>computational meh using the coil currents, pressure, and toroidal field profiles specified in the g-file</w:t>
      </w:r>
      <w:r w:rsidR="004B6BCF">
        <w:t xml:space="preserve"> produced by LRDFIT</w:t>
      </w:r>
      <w:r>
        <w:t xml:space="preserve">.  Because details of this calculation differ from the original </w:t>
      </w:r>
      <w:r w:rsidR="004B6BCF">
        <w:t>LRD</w:t>
      </w:r>
      <w:r>
        <w:t>FIT calculation, including different methods for keeping the plasma correctly positioned</w:t>
      </w:r>
      <w:r w:rsidR="00605C72">
        <w:t xml:space="preserve"> and symmetry assumptions (M3D-C1 does not enforce up-down symmetry)</w:t>
      </w:r>
      <w:r>
        <w:t xml:space="preserve">, the shape final M3D-C1 equilibrium can differ from the original </w:t>
      </w:r>
      <w:r w:rsidR="004B6BCF">
        <w:t>LRD</w:t>
      </w:r>
      <w:r>
        <w:t>FIT equilibri</w:t>
      </w:r>
      <w:r w:rsidR="00605C72">
        <w:t>u</w:t>
      </w:r>
      <w:r>
        <w:t>m.</w:t>
      </w:r>
      <w:r w:rsidR="00605C72">
        <w:t xml:space="preserve">  This case, which features a significant flux expansion near the horizontal </w:t>
      </w:r>
      <w:proofErr w:type="spellStart"/>
      <w:r w:rsidR="00605C72">
        <w:t>divertor</w:t>
      </w:r>
      <w:proofErr w:type="spellEnd"/>
      <w:r w:rsidR="00605C72">
        <w:t xml:space="preserve"> target, is especially susceptible to shape differences.  The shape of the M3D-C1 equilibrium and the original </w:t>
      </w:r>
      <w:r w:rsidR="004B6BCF">
        <w:t>LRD</w:t>
      </w:r>
      <w:r w:rsidR="00605C72">
        <w:t xml:space="preserve">FIT equilibrium near the lower </w:t>
      </w:r>
      <w:proofErr w:type="spellStart"/>
      <w:r w:rsidR="00605C72">
        <w:t>divertor</w:t>
      </w:r>
      <w:proofErr w:type="spellEnd"/>
      <w:r w:rsidR="00605C72">
        <w:t xml:space="preserve"> in this case is shown in </w:t>
      </w:r>
      <w:r w:rsidR="00605C72">
        <w:fldChar w:fldCharType="begin"/>
      </w:r>
      <w:r w:rsidR="00605C72">
        <w:instrText xml:space="preserve"> REF _Ref359506678 \h </w:instrText>
      </w:r>
      <w:r w:rsidR="007E7062">
        <w:instrText xml:space="preserve"> \* MERGEFORMAT </w:instrText>
      </w:r>
      <w:r w:rsidR="00605C72">
        <w:fldChar w:fldCharType="separate"/>
      </w:r>
      <w:r w:rsidR="00CC1BC1">
        <w:t xml:space="preserve">Figure </w:t>
      </w:r>
      <w:r w:rsidR="00CC1BC1">
        <w:rPr>
          <w:noProof/>
        </w:rPr>
        <w:t>1</w:t>
      </w:r>
      <w:r w:rsidR="00605C72">
        <w:fldChar w:fldCharType="end"/>
      </w:r>
      <w:r w:rsidR="00605C72">
        <w:t>.</w:t>
      </w:r>
    </w:p>
    <w:p w14:paraId="61C62043" w14:textId="77777777" w:rsidR="009F2B76" w:rsidRPr="009F2B76" w:rsidRDefault="009F2B76" w:rsidP="009F2B76"/>
    <w:p w14:paraId="473A4CCB" w14:textId="77777777" w:rsidR="00DA6027" w:rsidRDefault="00DA6027" w:rsidP="00DA6027">
      <w:pPr>
        <w:pStyle w:val="Caption"/>
        <w:jc w:val="center"/>
      </w:pPr>
      <w:r w:rsidRPr="00DA6027">
        <w:rPr>
          <w:noProof/>
        </w:rPr>
        <w:drawing>
          <wp:inline distT="0" distB="0" distL="0" distR="0" wp14:anchorId="3C3F148A" wp14:editId="5B03CCF2">
            <wp:extent cx="2975811" cy="2123021"/>
            <wp:effectExtent l="0" t="0" r="0" b="0"/>
            <wp:docPr id="5" name="Picture 5" descr="Macintosh HD:Users:nferraro:data:NSTX-U:116313:116313_eq_omeg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ferraro:data:NSTX-U:116313:116313_eq_omega.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368" cy="2123418"/>
                    </a:xfrm>
                    <a:prstGeom prst="rect">
                      <a:avLst/>
                    </a:prstGeom>
                    <a:noFill/>
                    <a:ln>
                      <a:noFill/>
                    </a:ln>
                  </pic:spPr>
                </pic:pic>
              </a:graphicData>
            </a:graphic>
          </wp:inline>
        </w:drawing>
      </w:r>
    </w:p>
    <w:p w14:paraId="592206AF" w14:textId="0891C46D" w:rsidR="00DA6027" w:rsidRDefault="00DA6027" w:rsidP="00DA6027">
      <w:pPr>
        <w:pStyle w:val="Caption"/>
      </w:pPr>
      <w:bookmarkStart w:id="2" w:name="_Ref359508577"/>
      <w:r>
        <w:t xml:space="preserve">Figure </w:t>
      </w:r>
      <w:r w:rsidR="00960441">
        <w:fldChar w:fldCharType="begin"/>
      </w:r>
      <w:r w:rsidR="00960441">
        <w:instrText xml:space="preserve"> SEQ Figure \* ARABIC </w:instrText>
      </w:r>
      <w:r w:rsidR="00960441">
        <w:fldChar w:fldCharType="separate"/>
      </w:r>
      <w:r w:rsidR="00CC1BC1">
        <w:rPr>
          <w:noProof/>
        </w:rPr>
        <w:t>2</w:t>
      </w:r>
      <w:r w:rsidR="00960441">
        <w:rPr>
          <w:noProof/>
        </w:rPr>
        <w:fldChar w:fldCharType="end"/>
      </w:r>
      <w:bookmarkEnd w:id="2"/>
      <w:r>
        <w:t>—</w:t>
      </w:r>
      <w:proofErr w:type="gramStart"/>
      <w:r>
        <w:t>The</w:t>
      </w:r>
      <w:proofErr w:type="gramEnd"/>
      <w:r w:rsidR="00953C62">
        <w:t xml:space="preserve"> equilibrium</w:t>
      </w:r>
      <w:r>
        <w:t xml:space="preserve"> toroidal rotation </w:t>
      </w:r>
      <w:r w:rsidR="00953C62">
        <w:t xml:space="preserve">profile </w:t>
      </w:r>
      <w:r w:rsidR="002A0505">
        <w:t>assumed here</w:t>
      </w:r>
      <w:r>
        <w:t>.</w:t>
      </w:r>
    </w:p>
    <w:p w14:paraId="0474C0CB" w14:textId="3672AA81" w:rsidR="000C59BE" w:rsidRDefault="00DA6027" w:rsidP="007E7062">
      <w:pPr>
        <w:jc w:val="both"/>
      </w:pPr>
      <w:r>
        <w:t>Rotation plays a significant role in the plasma response calculated by the resistive MHD model.  Therefore, an equilibrium rotation profile is</w:t>
      </w:r>
      <w:r w:rsidR="00D74227">
        <w:t xml:space="preserve"> included in this equilibrium.  We a</w:t>
      </w:r>
      <w:r>
        <w:t xml:space="preserve">ssumed the toroidal ion rotation is proportional to the square-root of the pressure, with a central </w:t>
      </w:r>
      <w:r w:rsidR="00DE3D46">
        <w:t xml:space="preserve">angular </w:t>
      </w:r>
      <w:r>
        <w:t xml:space="preserve">rotation </w:t>
      </w:r>
      <w:r w:rsidR="00DE3D46">
        <w:t>frequency</w:t>
      </w:r>
      <w:r>
        <w:t xml:space="preserve"> </w:t>
      </w:r>
      <w:proofErr w:type="gramStart"/>
      <w:r>
        <w:t xml:space="preserve">of approximately 250 </w:t>
      </w:r>
      <w:proofErr w:type="spellStart"/>
      <w:r>
        <w:t>krad</w:t>
      </w:r>
      <w:proofErr w:type="spellEnd"/>
      <w:r>
        <w:t>/s (</w:t>
      </w:r>
      <w:r>
        <w:rPr>
          <w:i/>
        </w:rPr>
        <w:t>c.f.</w:t>
      </w:r>
      <w:r>
        <w:t xml:space="preserve"> </w:t>
      </w:r>
      <w:r>
        <w:fldChar w:fldCharType="begin"/>
      </w:r>
      <w:r>
        <w:instrText xml:space="preserve"> REF _Ref359508577 \h </w:instrText>
      </w:r>
      <w:r w:rsidR="007E7062">
        <w:instrText xml:space="preserve"> \* MERGEFORMAT </w:instrText>
      </w:r>
      <w:r>
        <w:fldChar w:fldCharType="separate"/>
      </w:r>
      <w:r w:rsidR="00CC1BC1">
        <w:t xml:space="preserve">Figure </w:t>
      </w:r>
      <w:r w:rsidR="00CC1BC1">
        <w:rPr>
          <w:noProof/>
        </w:rPr>
        <w:t>2</w:t>
      </w:r>
      <w:r>
        <w:fldChar w:fldCharType="end"/>
      </w:r>
      <w:r>
        <w:t>)</w:t>
      </w:r>
      <w:proofErr w:type="gramEnd"/>
      <w:r>
        <w:t>.  In the single-fluid model considered here, the ion, electron, and E</w:t>
      </w:r>
      <w:r>
        <w:rPr>
          <w:rFonts w:cs="Times New Roman"/>
        </w:rPr>
        <w:t>×</w:t>
      </w:r>
      <w:r>
        <w:t>B rotation profiles are equivalent.  Equilibrium poloidal rotation is not considered.</w:t>
      </w:r>
    </w:p>
    <w:p w14:paraId="3BDA3F73" w14:textId="77777777" w:rsidR="00DA6027" w:rsidRDefault="00DA6027" w:rsidP="000C59BE"/>
    <w:p w14:paraId="0E14D689" w14:textId="77777777" w:rsidR="000F6E38" w:rsidRDefault="000F6E38" w:rsidP="000C59BE">
      <w:r>
        <w:rPr>
          <w:noProof/>
        </w:rPr>
        <w:drawing>
          <wp:inline distT="0" distB="0" distL="0" distR="0" wp14:anchorId="2CEEB901" wp14:editId="5D3C1EB9">
            <wp:extent cx="2711487" cy="2171700"/>
            <wp:effectExtent l="0" t="0" r="6350" b="0"/>
            <wp:docPr id="2" name="Picture 2" descr="Macintosh HD:Users:nferraro:data:NSTX-U:116313:116313_tf_PitchR_eq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ferraro:data:NSTX-U:116313:116313_tf_PitchR_eq_free_rot.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87" cy="2171700"/>
                    </a:xfrm>
                    <a:prstGeom prst="rect">
                      <a:avLst/>
                    </a:prstGeom>
                    <a:noFill/>
                    <a:ln>
                      <a:noFill/>
                    </a:ln>
                  </pic:spPr>
                </pic:pic>
              </a:graphicData>
            </a:graphic>
          </wp:inline>
        </w:drawing>
      </w:r>
      <w:r>
        <w:rPr>
          <w:noProof/>
        </w:rPr>
        <w:drawing>
          <wp:inline distT="0" distB="0" distL="0" distR="0" wp14:anchorId="6673845C" wp14:editId="78A99F80">
            <wp:extent cx="2711487" cy="2171700"/>
            <wp:effectExtent l="0" t="0" r="6350" b="0"/>
            <wp:docPr id="1" name="Picture 1" descr="Macintosh HD:Users:nferraro:data:NSTX-U:116313:116313_tf_PitchZ_eq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ferraro:data:NSTX-U:116313:116313_tf_PitchZ_eq_free_rot.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87" cy="2171700"/>
                    </a:xfrm>
                    <a:prstGeom prst="rect">
                      <a:avLst/>
                    </a:prstGeom>
                    <a:noFill/>
                    <a:ln>
                      <a:noFill/>
                    </a:ln>
                  </pic:spPr>
                </pic:pic>
              </a:graphicData>
            </a:graphic>
          </wp:inline>
        </w:drawing>
      </w:r>
    </w:p>
    <w:p w14:paraId="5076EE61" w14:textId="4D2DAD30" w:rsidR="000F6E38" w:rsidRDefault="000F6E38" w:rsidP="000F6E38">
      <w:pPr>
        <w:pStyle w:val="Caption"/>
      </w:pPr>
      <w:bookmarkStart w:id="3" w:name="_Ref359512374"/>
      <w:r>
        <w:t xml:space="preserve">Figure </w:t>
      </w:r>
      <w:r w:rsidR="00960441">
        <w:fldChar w:fldCharType="begin"/>
      </w:r>
      <w:r w:rsidR="00960441">
        <w:instrText xml:space="preserve"> SEQ Figure \* ARABIC </w:instrText>
      </w:r>
      <w:r w:rsidR="00960441">
        <w:fldChar w:fldCharType="separate"/>
      </w:r>
      <w:r w:rsidR="00CC1BC1">
        <w:rPr>
          <w:noProof/>
        </w:rPr>
        <w:t>3</w:t>
      </w:r>
      <w:r w:rsidR="00960441">
        <w:rPr>
          <w:noProof/>
        </w:rPr>
        <w:fldChar w:fldCharType="end"/>
      </w:r>
      <w:bookmarkEnd w:id="3"/>
      <w:r>
        <w:t>—</w:t>
      </w:r>
      <w:r w:rsidR="002D7187" w:rsidRPr="002D7187">
        <w:rPr>
          <w:b/>
        </w:rPr>
        <w:t>Equilibrium Field.</w:t>
      </w:r>
      <w:r w:rsidR="002D7187">
        <w:t xml:space="preserve">  </w:t>
      </w:r>
      <w:r w:rsidR="00CB35CE">
        <w:t>The equilibrium values of</w:t>
      </w:r>
      <w:r>
        <w:t xml:space="preserve"> </w:t>
      </w:r>
      <m:oMath>
        <m:sSub>
          <m:sSubPr>
            <m:ctrlPr>
              <w:rPr>
                <w:rFonts w:ascii="Cambria Math" w:hAnsi="Cambria Math"/>
              </w:rPr>
            </m:ctrlPr>
          </m:sSubPr>
          <m:e>
            <m:r>
              <w:rPr>
                <w:rFonts w:ascii="Cambria Math" w:hAnsi="Cambria Math"/>
              </w:rPr>
              <m:t>B</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R=0.45</m:t>
        </m:r>
      </m:oMath>
      <w:r w:rsidR="00CB35CE">
        <w:t xml:space="preserve"> </w:t>
      </w:r>
      <w:r w:rsidR="008C3F07">
        <w:t xml:space="preserve">m </w:t>
      </w:r>
      <w:r w:rsidR="00CB35CE">
        <w:t xml:space="preserve">(left) and </w:t>
      </w:r>
      <m:oMath>
        <m:sSub>
          <m:sSubPr>
            <m:ctrlPr>
              <w:rPr>
                <w:rFonts w:ascii="Cambria Math" w:hAnsi="Cambria Math"/>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rsidR="00CB35CE">
        <w:t xml:space="preserve"> at </w:t>
      </w:r>
      <m:oMath>
        <m:r>
          <w:rPr>
            <w:rFonts w:ascii="Cambria Math" w:hAnsi="Cambria Math"/>
          </w:rPr>
          <m:t>Z=-1.6</m:t>
        </m:r>
      </m:oMath>
      <w:r w:rsidR="008C3F07">
        <w:t xml:space="preserve"> m</w:t>
      </w:r>
      <w:r w:rsidR="009E0ECB">
        <w:t xml:space="preserve"> (right)</w:t>
      </w:r>
      <w:r w:rsidR="00CB35CE">
        <w:t xml:space="preserve"> for the model equilibrium NSTX-U 11613.00851_NfHz0+_0.</w:t>
      </w:r>
      <w:r w:rsidR="008C3F07">
        <w:t xml:space="preserve">  The inner </w:t>
      </w:r>
      <w:proofErr w:type="spellStart"/>
      <w:r w:rsidR="008C3F07">
        <w:t>divertor</w:t>
      </w:r>
      <w:proofErr w:type="spellEnd"/>
      <w:r w:rsidR="008C3F07">
        <w:t xml:space="preserve"> leg </w:t>
      </w:r>
      <w:r w:rsidR="008C3F07">
        <w:lastRenderedPageBreak/>
        <w:t xml:space="preserve">passes through </w:t>
      </w:r>
      <m:oMath>
        <m:r>
          <w:rPr>
            <w:rFonts w:ascii="Cambria Math" w:hAnsi="Cambria Math"/>
          </w:rPr>
          <m:t>R=0.45</m:t>
        </m:r>
      </m:oMath>
      <w:r w:rsidR="008C3F07">
        <w:t xml:space="preserve"> at </w:t>
      </w:r>
      <m:oMath>
        <m:r>
          <w:rPr>
            <w:rFonts w:ascii="Cambria Math" w:hAnsi="Cambria Math"/>
          </w:rPr>
          <m:t>Z=-1.477</m:t>
        </m:r>
      </m:oMath>
      <w:r w:rsidR="008C3F07">
        <w:t xml:space="preserve"> </w:t>
      </w:r>
      <w:r w:rsidR="008C097A">
        <w:t>m</w:t>
      </w:r>
      <w:r w:rsidR="008C3F07">
        <w:t xml:space="preserve">, and the outer </w:t>
      </w:r>
      <w:proofErr w:type="spellStart"/>
      <w:r w:rsidR="008C3F07">
        <w:t>divertor</w:t>
      </w:r>
      <w:proofErr w:type="spellEnd"/>
      <w:r w:rsidR="008C3F07">
        <w:t xml:space="preserve"> leg passes through </w:t>
      </w:r>
      <m:oMath>
        <m:r>
          <w:rPr>
            <w:rFonts w:ascii="Cambria Math" w:hAnsi="Cambria Math"/>
          </w:rPr>
          <m:t>Z=-1.6</m:t>
        </m:r>
      </m:oMath>
      <w:r w:rsidR="008C3F07">
        <w:t xml:space="preserve"> m at </w:t>
      </w:r>
      <m:oMath>
        <m:r>
          <w:rPr>
            <w:rFonts w:ascii="Cambria Math" w:hAnsi="Cambria Math"/>
          </w:rPr>
          <m:t>R=0.569</m:t>
        </m:r>
      </m:oMath>
      <w:r w:rsidR="008C3F07">
        <w:t xml:space="preserve"> m.</w:t>
      </w:r>
    </w:p>
    <w:p w14:paraId="57537007" w14:textId="69727633" w:rsidR="00BA64D0" w:rsidRDefault="007022D0" w:rsidP="007E7062">
      <w:pPr>
        <w:jc w:val="both"/>
      </w:pPr>
      <w:r>
        <w:t>Heat flux to PFC surfaces</w:t>
      </w:r>
      <w:proofErr w:type="gramStart"/>
      <w:r>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SURF</m:t>
            </m:r>
          </m:sub>
        </m:sSub>
      </m:oMath>
      <w:r>
        <w:t xml:space="preserve">, </w:t>
      </w:r>
      <w:r w:rsidR="007E7062">
        <w:t xml:space="preserve">can be computed (see PFCR-MEMO-004) </w:t>
      </w:r>
      <w:r>
        <w:t xml:space="preserve">via </w:t>
      </w:r>
      <m:oMath>
        <m:sSub>
          <m:sSubPr>
            <m:ctrlPr>
              <w:rPr>
                <w:rFonts w:ascii="Cambria Math" w:hAnsi="Cambria Math"/>
                <w:i/>
              </w:rPr>
            </m:ctrlPr>
          </m:sSubPr>
          <m:e>
            <m:r>
              <w:rPr>
                <w:rFonts w:ascii="Cambria Math" w:hAnsi="Cambria Math"/>
              </w:rPr>
              <m:t>q</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t>
            </m:r>
          </m:sub>
        </m:sSub>
        <m:r>
          <w:rPr>
            <w:rFonts w:ascii="Cambria Math" w:hAnsi="Cambria Math"/>
          </w:rPr>
          <m:t xml:space="preserve"> (</m:t>
        </m:r>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n</m:t>
            </m:r>
          </m:e>
        </m:acc>
        <m:r>
          <w:rPr>
            <w:rFonts w:ascii="Cambria Math" w:hAnsi="Cambria Math"/>
          </w:rPr>
          <m:t>)</m:t>
        </m:r>
      </m:oMath>
      <w:r>
        <w:t xml:space="preserve">, where </w:t>
      </w:r>
      <m:oMath>
        <m:acc>
          <m:accPr>
            <m:ctrlPr>
              <w:rPr>
                <w:rFonts w:ascii="Cambria Math" w:hAnsi="Cambria Math"/>
                <w:i/>
              </w:rPr>
            </m:ctrlPr>
          </m:accPr>
          <m:e>
            <m:r>
              <w:rPr>
                <w:rFonts w:ascii="Cambria Math" w:hAnsi="Cambria Math"/>
              </w:rPr>
              <m:t>n</m:t>
            </m:r>
          </m:e>
        </m:acc>
      </m:oMath>
      <w:r>
        <w:t xml:space="preserve">, is the surface normal.  The impact of non-axisymmetric fields is assumed to not change the parallel heat flux but to change the </w:t>
      </w:r>
      <w:proofErr w:type="gramStart"/>
      <w:r>
        <w:t xml:space="preserve">local </w:t>
      </w:r>
      <w:proofErr w:type="gramEnd"/>
      <m:oMath>
        <m:r>
          <w:rPr>
            <w:rFonts w:ascii="Cambria Math" w:hAnsi="Cambria Math"/>
          </w:rPr>
          <m:t xml:space="preserve"> (</m:t>
        </m:r>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n</m:t>
            </m:r>
          </m:e>
        </m:acc>
        <m:r>
          <w:rPr>
            <w:rFonts w:ascii="Cambria Math" w:hAnsi="Cambria Math"/>
          </w:rPr>
          <m:t>)</m:t>
        </m:r>
      </m:oMath>
      <w:r>
        <w:t xml:space="preserve">.  </w:t>
      </w:r>
      <w:r w:rsidR="00BA64D0">
        <w:t xml:space="preserve">The values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φ</m:t>
            </m:r>
          </m:sub>
        </m:sSub>
      </m:oMath>
      <w:r w:rsidR="00BA64D0">
        <w:t xml:space="preserve"> at </w:t>
      </w:r>
      <m:oMath>
        <m:r>
          <m:rPr>
            <m:sty m:val="p"/>
          </m:rPr>
          <w:rPr>
            <w:rFonts w:ascii="Cambria Math" w:hAnsi="Cambria Math"/>
          </w:rPr>
          <m:t>R=0.45</m:t>
        </m:r>
      </m:oMath>
      <w:r w:rsidR="00BA64D0">
        <w:t xml:space="preserve"> m (left) and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Z</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φ</m:t>
            </m:r>
          </m:sub>
        </m:sSub>
      </m:oMath>
      <w:r w:rsidR="00BA64D0">
        <w:t xml:space="preserve"> at </w:t>
      </w:r>
      <m:oMath>
        <m:r>
          <m:rPr>
            <m:sty m:val="p"/>
          </m:rPr>
          <w:rPr>
            <w:rFonts w:ascii="Cambria Math" w:hAnsi="Cambria Math"/>
          </w:rPr>
          <m:t>Z=-1.6</m:t>
        </m:r>
      </m:oMath>
      <w:r w:rsidR="00BA64D0">
        <w:t xml:space="preserve"> m for the (axisymmetric) equilibrium are plotted in </w:t>
      </w:r>
      <w:r w:rsidR="00BA64D0">
        <w:fldChar w:fldCharType="begin"/>
      </w:r>
      <w:r w:rsidR="00BA64D0">
        <w:instrText xml:space="preserve"> REF _Ref359512374 \h </w:instrText>
      </w:r>
      <w:r w:rsidR="007E7062">
        <w:instrText xml:space="preserve"> \* MERGEFORMAT </w:instrText>
      </w:r>
      <w:r w:rsidR="00BA64D0">
        <w:fldChar w:fldCharType="separate"/>
      </w:r>
      <w:r w:rsidR="00CC1BC1">
        <w:t xml:space="preserve">Figure </w:t>
      </w:r>
      <w:r w:rsidR="00CC1BC1">
        <w:rPr>
          <w:noProof/>
        </w:rPr>
        <w:t>3</w:t>
      </w:r>
      <w:r w:rsidR="00BA64D0">
        <w:fldChar w:fldCharType="end"/>
      </w:r>
      <w:r w:rsidR="00BA64D0">
        <w:t xml:space="preserve">.  Given </w:t>
      </w:r>
      <w:proofErr w:type="gramStart"/>
      <w:r w:rsidR="00BA64D0">
        <w:t xml:space="preserve">that </w:t>
      </w:r>
      <w:proofErr w:type="gramEnd"/>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φ</m:t>
            </m:r>
          </m:sub>
        </m:sSub>
        <m:r>
          <w:rPr>
            <w:rFonts w:ascii="Cambria Math" w:hAnsi="Cambria Math" w:hint="eastAsia"/>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Z</m:t>
            </m:r>
          </m:sub>
        </m:sSub>
      </m:oMath>
      <w:r w:rsidR="00BA64D0">
        <w:t>, these values are approximately the pitch angle (in radians) at which the magnetic field strikes the inner vertical target and lower horizontal target, respectively.</w:t>
      </w:r>
    </w:p>
    <w:p w14:paraId="61D34B04" w14:textId="01F1D058" w:rsidR="000A5849" w:rsidRDefault="000A5849" w:rsidP="007E7062">
      <w:pPr>
        <w:pStyle w:val="Heading2"/>
        <w:jc w:val="both"/>
      </w:pPr>
      <w:r>
        <w:t>Error Field from TF Rod Misalignment</w:t>
      </w:r>
    </w:p>
    <w:p w14:paraId="6793A4B7" w14:textId="77777777" w:rsidR="00A04AB9" w:rsidRDefault="00A04AB9" w:rsidP="007E7062">
      <w:pPr>
        <w:jc w:val="both"/>
      </w:pPr>
    </w:p>
    <w:p w14:paraId="04E78CED" w14:textId="4DD7FE19" w:rsidR="009E0ECB" w:rsidRDefault="00996443" w:rsidP="007E7062">
      <w:pPr>
        <w:jc w:val="both"/>
      </w:pPr>
      <w:r>
        <w:t>The dominant source of error fields in NSTX-U during the FY16 campaign is believed to be due to misalignment of the TF coil [F</w:t>
      </w:r>
      <w:r w:rsidR="004E6082">
        <w:t>MP</w:t>
      </w:r>
      <w:r>
        <w:t xml:space="preserve"> 2017].  This assessment was based on metrology of the center stack and PF5 coils, as well as modeling using IPEC and M3D-C1.  From the metrology data, it was inferred that the TF rod was tilted 1.15 </w:t>
      </w:r>
      <w:proofErr w:type="spellStart"/>
      <w:r>
        <w:t>mrad</w:t>
      </w:r>
      <w:proofErr w:type="spellEnd"/>
      <w:r>
        <w:t xml:space="preserve"> towards 206</w:t>
      </w:r>
      <w:r>
        <w:rPr>
          <w:rFonts w:cs="Times New Roman"/>
        </w:rPr>
        <w:t>°</w:t>
      </w:r>
      <w:r>
        <w:t>, where 0</w:t>
      </w:r>
      <w:r>
        <w:rPr>
          <w:rFonts w:cs="Times New Roman"/>
        </w:rPr>
        <w:t>°</w:t>
      </w:r>
      <w:r>
        <w:t xml:space="preserve"> points East (between the C and D ports), and shifted horizontally 4.9 mm towards 246</w:t>
      </w:r>
      <w:r>
        <w:rPr>
          <w:rFonts w:cs="Times New Roman"/>
        </w:rPr>
        <w:t>°</w:t>
      </w:r>
      <w:r>
        <w:t>.</w:t>
      </w:r>
    </w:p>
    <w:p w14:paraId="2CAB7674" w14:textId="77777777" w:rsidR="008C3F07" w:rsidRDefault="008C3F07" w:rsidP="008C3F07"/>
    <w:p w14:paraId="24BBB659" w14:textId="63A5BA9B" w:rsidR="00996443" w:rsidRDefault="00996443" w:rsidP="008C3F07">
      <w:r>
        <w:rPr>
          <w:noProof/>
        </w:rPr>
        <w:drawing>
          <wp:inline distT="0" distB="0" distL="0" distR="0" wp14:anchorId="0C152F91" wp14:editId="4BD33A84">
            <wp:extent cx="2715768" cy="2171671"/>
            <wp:effectExtent l="0" t="0" r="2540" b="0"/>
            <wp:docPr id="9" name="Picture 9" descr="Macintosh HD:Users:nferraro:data:NSTX-U:116313:116313_tf_dPitchR_vac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ferraro:data:NSTX-U:116313:116313_tf_dPitchR_vac_free_rot.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5768" cy="2171671"/>
                    </a:xfrm>
                    <a:prstGeom prst="rect">
                      <a:avLst/>
                    </a:prstGeom>
                    <a:noFill/>
                    <a:ln>
                      <a:noFill/>
                    </a:ln>
                  </pic:spPr>
                </pic:pic>
              </a:graphicData>
            </a:graphic>
          </wp:inline>
        </w:drawing>
      </w:r>
      <w:r>
        <w:rPr>
          <w:noProof/>
        </w:rPr>
        <w:drawing>
          <wp:inline distT="0" distB="0" distL="0" distR="0" wp14:anchorId="114B0541" wp14:editId="278EFBFB">
            <wp:extent cx="2715768" cy="2171671"/>
            <wp:effectExtent l="0" t="0" r="2540" b="0"/>
            <wp:docPr id="10" name="Picture 10" descr="Macintosh HD:Users:nferraro:data:NSTX-U:116313:116313_tf_dPitchZ_vac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ferraro:data:NSTX-U:116313:116313_tf_dPitchZ_vac_free_rot.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768" cy="2171671"/>
                    </a:xfrm>
                    <a:prstGeom prst="rect">
                      <a:avLst/>
                    </a:prstGeom>
                    <a:noFill/>
                    <a:ln>
                      <a:noFill/>
                    </a:ln>
                  </pic:spPr>
                </pic:pic>
              </a:graphicData>
            </a:graphic>
          </wp:inline>
        </w:drawing>
      </w:r>
    </w:p>
    <w:p w14:paraId="3365886D" w14:textId="4D15821F" w:rsidR="00996443" w:rsidRDefault="00996443" w:rsidP="00996443">
      <w:pPr>
        <w:pStyle w:val="Caption"/>
      </w:pPr>
      <w:bookmarkStart w:id="4" w:name="_Ref359514980"/>
      <w:r>
        <w:t xml:space="preserve">Figure </w:t>
      </w:r>
      <w:r w:rsidR="00960441">
        <w:fldChar w:fldCharType="begin"/>
      </w:r>
      <w:r w:rsidR="00960441">
        <w:instrText xml:space="preserve"> SEQ Figure \* ARABIC </w:instrText>
      </w:r>
      <w:r w:rsidR="00960441">
        <w:fldChar w:fldCharType="separate"/>
      </w:r>
      <w:r w:rsidR="00CC1BC1">
        <w:rPr>
          <w:noProof/>
        </w:rPr>
        <w:t>4</w:t>
      </w:r>
      <w:r w:rsidR="00960441">
        <w:rPr>
          <w:noProof/>
        </w:rPr>
        <w:fldChar w:fldCharType="end"/>
      </w:r>
      <w:bookmarkEnd w:id="4"/>
      <w:r>
        <w:t>—</w:t>
      </w:r>
      <w:r w:rsidR="008B6B07">
        <w:rPr>
          <w:b/>
        </w:rPr>
        <w:t>Vacuum Field</w:t>
      </w:r>
      <w:r w:rsidR="002D7187" w:rsidRPr="002D7187">
        <w:rPr>
          <w:b/>
        </w:rPr>
        <w:t xml:space="preserve">.  </w:t>
      </w:r>
      <w:r>
        <w:t xml:space="preserve">The values of </w:t>
      </w:r>
      <m:oMath>
        <m:sSub>
          <m:sSubPr>
            <m:ctrlPr>
              <w:rPr>
                <w:rFonts w:ascii="Cambria Math" w:hAnsi="Cambria Math"/>
              </w:rPr>
            </m:ctrlPr>
          </m:sSubPr>
          <m:e>
            <m:r>
              <w:rPr>
                <w:rFonts w:ascii="Cambria Math" w:hAnsi="Cambria Math"/>
              </w:rPr>
              <m:t>δB</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R=0.45</m:t>
        </m:r>
      </m:oMath>
      <w:r>
        <w:t xml:space="preserve"> m (left) and </w:t>
      </w:r>
      <m:oMath>
        <m:r>
          <w:rPr>
            <w:rFonts w:ascii="Cambria Math" w:hAnsi="Cambria Math"/>
          </w:rPr>
          <m:t>δ</m:t>
        </m:r>
        <m:sSub>
          <m:sSubPr>
            <m:ctrlPr>
              <w:rPr>
                <w:rFonts w:ascii="Cambria Math" w:hAnsi="Cambria Math"/>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Z=-1.6</m:t>
        </m:r>
      </m:oMath>
      <w:r>
        <w:t xml:space="preserve"> m </w:t>
      </w:r>
      <w:r w:rsidR="009E0ECB">
        <w:t xml:space="preserve">(right) </w:t>
      </w:r>
      <w:r>
        <w:t xml:space="preserve">for the model equilibrium NSTX-U 11613.00851_NfHz0+_0, from the TF error field model in the absence of plasma response (i.e. the vacuum field).  The inner </w:t>
      </w:r>
      <w:proofErr w:type="spellStart"/>
      <w:r>
        <w:t>divertor</w:t>
      </w:r>
      <w:proofErr w:type="spellEnd"/>
      <w:r>
        <w:t xml:space="preserve"> leg passes through </w:t>
      </w:r>
      <m:oMath>
        <m:r>
          <w:rPr>
            <w:rFonts w:ascii="Cambria Math" w:hAnsi="Cambria Math"/>
          </w:rPr>
          <m:t>R=0.45</m:t>
        </m:r>
      </m:oMath>
      <w:r>
        <w:t xml:space="preserve"> at </w:t>
      </w:r>
      <m:oMath>
        <m:r>
          <w:rPr>
            <w:rFonts w:ascii="Cambria Math" w:hAnsi="Cambria Math"/>
          </w:rPr>
          <m:t>Z=-1.477</m:t>
        </m:r>
      </m:oMath>
      <w:r>
        <w:t xml:space="preserve"> m, and the outer divertor leg passes through </w:t>
      </w:r>
      <m:oMath>
        <m:r>
          <w:rPr>
            <w:rFonts w:ascii="Cambria Math" w:hAnsi="Cambria Math"/>
          </w:rPr>
          <m:t>Z=-1.6</m:t>
        </m:r>
      </m:oMath>
      <w:r>
        <w:t xml:space="preserve"> m at </w:t>
      </w:r>
      <m:oMath>
        <m:r>
          <w:rPr>
            <w:rFonts w:ascii="Cambria Math" w:hAnsi="Cambria Math"/>
          </w:rPr>
          <m:t>R=0.569</m:t>
        </m:r>
      </m:oMath>
      <w:r>
        <w:t xml:space="preserve"> m.</w:t>
      </w:r>
    </w:p>
    <w:p w14:paraId="64B497AB" w14:textId="733EAAF6" w:rsidR="009E0ECB" w:rsidRPr="0036423C" w:rsidRDefault="009E0ECB" w:rsidP="002C2E1B">
      <w:pPr>
        <w:jc w:val="both"/>
      </w:pPr>
      <w:r>
        <w:t xml:space="preserve">The perturbation to the pitch angle at </w:t>
      </w:r>
      <m:oMath>
        <m:r>
          <m:rPr>
            <m:sty m:val="p"/>
          </m:rPr>
          <w:rPr>
            <w:rFonts w:ascii="Cambria Math" w:hAnsi="Cambria Math"/>
          </w:rPr>
          <m:t>R=0.45</m:t>
        </m:r>
      </m:oMath>
      <w:r>
        <w:t xml:space="preserve"> m (left) and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Z</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φ</m:t>
            </m:r>
          </m:sub>
        </m:sSub>
      </m:oMath>
      <w:r>
        <w:t xml:space="preserve"> at </w:t>
      </w:r>
      <m:oMath>
        <m:r>
          <m:rPr>
            <m:sty m:val="p"/>
          </m:rPr>
          <w:rPr>
            <w:rFonts w:ascii="Cambria Math" w:hAnsi="Cambria Math"/>
          </w:rPr>
          <m:t>Z=-1.6</m:t>
        </m:r>
      </m:oMath>
      <w:r>
        <w:t xml:space="preserve"> m</w:t>
      </w:r>
      <w:r w:rsidR="000A5849">
        <w:t xml:space="preserve"> due to the TF error field</w:t>
      </w:r>
      <w:r w:rsidR="0036423C">
        <w:t xml:space="preserve"> in the absence of the plasma response (</w:t>
      </w:r>
      <w:r w:rsidR="0036423C">
        <w:rPr>
          <w:i/>
        </w:rPr>
        <w:t>i.e.</w:t>
      </w:r>
      <w:r w:rsidR="0036423C">
        <w:t xml:space="preserve"> the vacuum field) is shown in </w:t>
      </w:r>
      <w:r w:rsidR="0036423C">
        <w:fldChar w:fldCharType="begin"/>
      </w:r>
      <w:r w:rsidR="0036423C">
        <w:instrText xml:space="preserve"> REF _Ref359514980 \h </w:instrText>
      </w:r>
      <w:r w:rsidR="002C2E1B">
        <w:instrText xml:space="preserve"> \* MERGEFORMAT </w:instrText>
      </w:r>
      <w:r w:rsidR="0036423C">
        <w:fldChar w:fldCharType="separate"/>
      </w:r>
      <w:r w:rsidR="00CC1BC1">
        <w:t xml:space="preserve">Figure </w:t>
      </w:r>
      <w:r w:rsidR="00CC1BC1">
        <w:rPr>
          <w:noProof/>
        </w:rPr>
        <w:t>4</w:t>
      </w:r>
      <w:r w:rsidR="0036423C">
        <w:fldChar w:fldCharType="end"/>
      </w:r>
      <w:r w:rsidR="0036423C">
        <w:t>.</w:t>
      </w:r>
      <w:r w:rsidR="002D7187">
        <w:t xml:space="preserve">  At </w:t>
      </w:r>
      <m:oMath>
        <m:r>
          <m:rPr>
            <m:sty m:val="p"/>
          </m:rPr>
          <w:rPr>
            <w:rFonts w:ascii="Cambria Math" w:hAnsi="Cambria Math"/>
          </w:rPr>
          <m:t>R=0.45</m:t>
        </m:r>
      </m:oMath>
      <w:r w:rsidR="002D7187">
        <w:t xml:space="preserve"> </w:t>
      </w:r>
      <w:proofErr w:type="gramStart"/>
      <w:r w:rsidR="002D7187">
        <w:t xml:space="preserve">and </w:t>
      </w:r>
      <w:proofErr w:type="gramEnd"/>
      <m:oMath>
        <m:r>
          <m:rPr>
            <m:sty m:val="p"/>
          </m:rPr>
          <w:rPr>
            <w:rFonts w:ascii="Cambria Math" w:hAnsi="Cambria Math"/>
          </w:rPr>
          <m:t>Z=-1.6</m:t>
        </m:r>
      </m:oMath>
      <w:r w:rsidR="002D7187">
        <w:t>, the maximum perturbed pitch angle is roughly 7.5 mrad (0.43</w:t>
      </w:r>
      <w:r w:rsidR="002D7187">
        <w:rPr>
          <w:rFonts w:cs="Times New Roman"/>
        </w:rPr>
        <w:t>°)</w:t>
      </w:r>
      <w:r w:rsidR="002D7187">
        <w:t xml:space="preserve"> and 1.5 </w:t>
      </w:r>
      <w:proofErr w:type="spellStart"/>
      <w:r w:rsidR="002D7187">
        <w:t>mrad</w:t>
      </w:r>
      <w:proofErr w:type="spellEnd"/>
      <w:r w:rsidR="002D7187">
        <w:t xml:space="preserve"> (.09</w:t>
      </w:r>
      <w:r w:rsidR="002D7187">
        <w:rPr>
          <w:rFonts w:cs="Times New Roman"/>
        </w:rPr>
        <w:t>°)</w:t>
      </w:r>
      <w:r w:rsidR="002D7187">
        <w:t>, respectively.</w:t>
      </w:r>
    </w:p>
    <w:p w14:paraId="7F2B552E" w14:textId="77777777" w:rsidR="009E0ECB" w:rsidRPr="009E0ECB" w:rsidRDefault="009E0ECB" w:rsidP="009E0ECB"/>
    <w:p w14:paraId="2818BBF4" w14:textId="5B784D66" w:rsidR="00E16C72" w:rsidRDefault="00E16C72" w:rsidP="00E16C72">
      <w:r>
        <w:rPr>
          <w:noProof/>
        </w:rPr>
        <w:lastRenderedPageBreak/>
        <w:drawing>
          <wp:inline distT="0" distB="0" distL="0" distR="0" wp14:anchorId="1185752C" wp14:editId="06542F7D">
            <wp:extent cx="2715768" cy="2171671"/>
            <wp:effectExtent l="0" t="0" r="2540" b="0"/>
            <wp:docPr id="11" name="Picture 11" descr="Macintosh HD:Users:nferraro:data:NSTX-U:116313:116313_tf_dPitchR_1f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ferraro:data:NSTX-U:116313:116313_tf_dPitchR_1f_free_rot.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768" cy="2171671"/>
                    </a:xfrm>
                    <a:prstGeom prst="rect">
                      <a:avLst/>
                    </a:prstGeom>
                    <a:noFill/>
                    <a:ln>
                      <a:noFill/>
                    </a:ln>
                  </pic:spPr>
                </pic:pic>
              </a:graphicData>
            </a:graphic>
          </wp:inline>
        </w:drawing>
      </w:r>
      <w:r>
        <w:rPr>
          <w:noProof/>
        </w:rPr>
        <w:drawing>
          <wp:inline distT="0" distB="0" distL="0" distR="0" wp14:anchorId="516E9F7A" wp14:editId="3FD11BD9">
            <wp:extent cx="2715768" cy="2171671"/>
            <wp:effectExtent l="0" t="0" r="2540" b="0"/>
            <wp:docPr id="12" name="Picture 12" descr="Macintosh HD:Users:nferraro:data:NSTX-U:116313:116313_tf_dPitchZ_1f_free_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ferraro:data:NSTX-U:116313:116313_tf_dPitchZ_1f_free_rot.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768" cy="2171671"/>
                    </a:xfrm>
                    <a:prstGeom prst="rect">
                      <a:avLst/>
                    </a:prstGeom>
                    <a:noFill/>
                    <a:ln>
                      <a:noFill/>
                    </a:ln>
                  </pic:spPr>
                </pic:pic>
              </a:graphicData>
            </a:graphic>
          </wp:inline>
        </w:drawing>
      </w:r>
    </w:p>
    <w:p w14:paraId="0AC290F1" w14:textId="05BD0627" w:rsidR="00E16C72" w:rsidRDefault="00E16C72" w:rsidP="00E16C72">
      <w:pPr>
        <w:pStyle w:val="Caption"/>
      </w:pPr>
      <w:bookmarkStart w:id="5" w:name="_Ref360692336"/>
      <w:r>
        <w:t xml:space="preserve">Figure </w:t>
      </w:r>
      <w:r w:rsidR="00960441">
        <w:fldChar w:fldCharType="begin"/>
      </w:r>
      <w:r w:rsidR="00960441">
        <w:instrText xml:space="preserve"> SEQ Figure \* ARABIC </w:instrText>
      </w:r>
      <w:r w:rsidR="00960441">
        <w:fldChar w:fldCharType="separate"/>
      </w:r>
      <w:r w:rsidR="00CC1BC1">
        <w:rPr>
          <w:noProof/>
        </w:rPr>
        <w:t>5</w:t>
      </w:r>
      <w:r w:rsidR="00960441">
        <w:rPr>
          <w:noProof/>
        </w:rPr>
        <w:fldChar w:fldCharType="end"/>
      </w:r>
      <w:bookmarkEnd w:id="5"/>
      <w:r>
        <w:t>—</w:t>
      </w:r>
      <w:r w:rsidR="008B6B07">
        <w:rPr>
          <w:b/>
        </w:rPr>
        <w:t>Total Field</w:t>
      </w:r>
      <w:r w:rsidR="002D7187" w:rsidRPr="002D7187">
        <w:rPr>
          <w:b/>
        </w:rPr>
        <w:t>, Free-Boundary</w:t>
      </w:r>
      <w:r w:rsidR="002D7187">
        <w:t xml:space="preserve">.  </w:t>
      </w:r>
      <w:r>
        <w:t xml:space="preserve">The values of </w:t>
      </w:r>
      <m:oMath>
        <m:sSub>
          <m:sSubPr>
            <m:ctrlPr>
              <w:rPr>
                <w:rFonts w:ascii="Cambria Math" w:hAnsi="Cambria Math"/>
              </w:rPr>
            </m:ctrlPr>
          </m:sSubPr>
          <m:e>
            <m:r>
              <w:rPr>
                <w:rFonts w:ascii="Cambria Math" w:hAnsi="Cambria Math"/>
              </w:rPr>
              <m:t>δB</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R=0.45</m:t>
        </m:r>
      </m:oMath>
      <w:r>
        <w:t xml:space="preserve"> m (left) and </w:t>
      </w:r>
      <m:oMath>
        <m:r>
          <w:rPr>
            <w:rFonts w:ascii="Cambria Math" w:hAnsi="Cambria Math"/>
          </w:rPr>
          <m:t>δ</m:t>
        </m:r>
        <m:sSub>
          <m:sSubPr>
            <m:ctrlPr>
              <w:rPr>
                <w:rFonts w:ascii="Cambria Math" w:hAnsi="Cambria Math"/>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Z=-1.6</m:t>
        </m:r>
      </m:oMath>
      <w:r>
        <w:t xml:space="preserve"> m </w:t>
      </w:r>
      <w:r w:rsidR="009E0ECB">
        <w:t xml:space="preserve">(right) </w:t>
      </w:r>
      <w:r>
        <w:t>for the model equilibrium NSTX-U 11613.00851_NfHz0+_0, from the TF error field</w:t>
      </w:r>
      <w:r w:rsidR="00512D91">
        <w:t>, including the plasma response</w:t>
      </w:r>
      <w:r>
        <w:t xml:space="preserve">.  The inner </w:t>
      </w:r>
      <w:proofErr w:type="spellStart"/>
      <w:r>
        <w:t>divertor</w:t>
      </w:r>
      <w:proofErr w:type="spellEnd"/>
      <w:r>
        <w:t xml:space="preserve"> leg passes through </w:t>
      </w:r>
      <m:oMath>
        <m:r>
          <w:rPr>
            <w:rFonts w:ascii="Cambria Math" w:hAnsi="Cambria Math"/>
          </w:rPr>
          <m:t>R=0.45</m:t>
        </m:r>
      </m:oMath>
      <w:r>
        <w:t xml:space="preserve"> at </w:t>
      </w:r>
      <m:oMath>
        <m:r>
          <w:rPr>
            <w:rFonts w:ascii="Cambria Math" w:hAnsi="Cambria Math"/>
          </w:rPr>
          <m:t>Z=-1.477</m:t>
        </m:r>
      </m:oMath>
      <w:r>
        <w:t xml:space="preserve"> m, and the outer divertor leg passes through </w:t>
      </w:r>
      <m:oMath>
        <m:r>
          <w:rPr>
            <w:rFonts w:ascii="Cambria Math" w:hAnsi="Cambria Math"/>
          </w:rPr>
          <m:t>Z=-1.6</m:t>
        </m:r>
      </m:oMath>
      <w:r>
        <w:t xml:space="preserve"> m at </w:t>
      </w:r>
      <m:oMath>
        <m:r>
          <w:rPr>
            <w:rFonts w:ascii="Cambria Math" w:hAnsi="Cambria Math"/>
          </w:rPr>
          <m:t>R=0.569</m:t>
        </m:r>
      </m:oMath>
      <w:r>
        <w:t xml:space="preserve"> m.</w:t>
      </w:r>
    </w:p>
    <w:p w14:paraId="102FCA8F" w14:textId="4631A1D1" w:rsidR="000B5F81" w:rsidRDefault="000B5F81" w:rsidP="002C2E1B">
      <w:pPr>
        <w:jc w:val="both"/>
      </w:pPr>
      <w:r>
        <w:t>The plasma response cur</w:t>
      </w:r>
      <w:r w:rsidR="004547B8">
        <w:t>rents alter the perturbed field</w:t>
      </w:r>
      <w:r>
        <w:t xml:space="preserve">.  The total perturbed field (vacuum plus plasma response) calculated using the linear, one-fluid model in M3D-C1 </w:t>
      </w:r>
      <w:r w:rsidR="002B6E29">
        <w:t xml:space="preserve">[Ferraro 2012] </w:t>
      </w:r>
      <w:r>
        <w:t xml:space="preserve">with a “free” boundary is shown in </w:t>
      </w:r>
      <w:r>
        <w:fldChar w:fldCharType="begin"/>
      </w:r>
      <w:r>
        <w:instrText xml:space="preserve"> REF _Ref360692336 \h </w:instrText>
      </w:r>
      <w:r w:rsidR="002C2E1B">
        <w:instrText xml:space="preserve"> \* MERGEFORMAT </w:instrText>
      </w:r>
      <w:r>
        <w:fldChar w:fldCharType="separate"/>
      </w:r>
      <w:r w:rsidR="00CC1BC1">
        <w:t xml:space="preserve">Figure </w:t>
      </w:r>
      <w:r w:rsidR="00CC1BC1">
        <w:rPr>
          <w:noProof/>
        </w:rPr>
        <w:t>5</w:t>
      </w:r>
      <w:r>
        <w:fldChar w:fldCharType="end"/>
      </w:r>
      <w:r>
        <w:t>.  By “free” boundary it is meant that the computational domain boundary, at which superconducting boundary conditions are applied (</w:t>
      </w:r>
      <m:oMath>
        <m:r>
          <m:rPr>
            <m:sty m:val="b"/>
          </m:rPr>
          <w:rPr>
            <w:rFonts w:ascii="Cambria Math" w:hAnsi="Cambria Math"/>
          </w:rPr>
          <m:t>B</m:t>
        </m:r>
        <m:r>
          <w:rPr>
            <w:rFonts w:ascii="Cambria Math" w:hAnsi="Cambria Math"/>
          </w:rPr>
          <m:t>⋅</m:t>
        </m:r>
        <m:acc>
          <m:accPr>
            <m:ctrlPr>
              <w:rPr>
                <w:rFonts w:ascii="Cambria Math" w:hAnsi="Cambria Math"/>
                <w:b/>
              </w:rPr>
            </m:ctrlPr>
          </m:accPr>
          <m:e>
            <m:r>
              <m:rPr>
                <m:sty m:val="b"/>
              </m:rPr>
              <w:rPr>
                <w:rFonts w:ascii="Cambria Math" w:hAnsi="Cambria Math"/>
              </w:rPr>
              <m:t>n</m:t>
            </m:r>
          </m:e>
        </m:acc>
        <m:r>
          <w:rPr>
            <w:rFonts w:ascii="Cambria Math" w:hAnsi="Cambria Math"/>
          </w:rPr>
          <m:t>=</m:t>
        </m:r>
        <m:r>
          <m:rPr>
            <m:sty m:val="p"/>
          </m:rPr>
          <w:rPr>
            <w:rFonts w:ascii="Cambria Math" w:hAnsi="Cambria Math"/>
          </w:rPr>
          <m:t>const</m:t>
        </m:r>
        <m:r>
          <w:rPr>
            <w:rFonts w:ascii="Cambria Math" w:hAnsi="Cambria Math"/>
          </w:rPr>
          <m:t>.</m:t>
        </m:r>
      </m:oMath>
      <w:r>
        <w:t xml:space="preserve">), is outside the poloidal field coils; this gives a good approximation to the true free-boundary solution.  Here, the pitch angle at </w:t>
      </w:r>
      <m:oMath>
        <m:r>
          <m:rPr>
            <m:sty m:val="p"/>
          </m:rPr>
          <w:rPr>
            <w:rFonts w:ascii="Cambria Math" w:hAnsi="Cambria Math"/>
          </w:rPr>
          <m:t>R=0.45</m:t>
        </m:r>
      </m:oMath>
      <w:r>
        <w:t xml:space="preserve"> </w:t>
      </w:r>
      <w:r w:rsidR="00A6252F">
        <w:t xml:space="preserve">m </w:t>
      </w:r>
      <w:r>
        <w:t xml:space="preserve">is not significantly different from the vacuum case.  </w:t>
      </w:r>
      <w:r w:rsidR="002D7187">
        <w:t>However, t</w:t>
      </w:r>
      <w:r>
        <w:t>he</w:t>
      </w:r>
      <w:r w:rsidR="002D7187">
        <w:t xml:space="preserve"> pitch angle at</w:t>
      </w:r>
      <w:r>
        <w:t xml:space="preserve"> </w:t>
      </w:r>
      <m:oMath>
        <m:r>
          <m:rPr>
            <m:sty m:val="p"/>
          </m:rPr>
          <w:rPr>
            <w:rFonts w:ascii="Cambria Math" w:hAnsi="Cambria Math"/>
          </w:rPr>
          <m:t>Z=-1.6</m:t>
        </m:r>
      </m:oMath>
      <w:r w:rsidR="002D7187">
        <w:t xml:space="preserve"> </w:t>
      </w:r>
      <w:r w:rsidR="00A6252F">
        <w:t xml:space="preserve">m </w:t>
      </w:r>
      <w:r w:rsidR="002D7187">
        <w:t xml:space="preserve">is seen to develop striations, with the maximum perturbation to the pitch angle increasing to roughly 5 </w:t>
      </w:r>
      <w:proofErr w:type="spellStart"/>
      <w:r w:rsidR="002D7187">
        <w:t>mrad</w:t>
      </w:r>
      <w:proofErr w:type="spellEnd"/>
      <w:r w:rsidR="002D7187">
        <w:t xml:space="preserve"> (0.29</w:t>
      </w:r>
      <w:r w:rsidR="002D7187">
        <w:rPr>
          <w:rFonts w:cs="Times New Roman"/>
        </w:rPr>
        <w:t>°</w:t>
      </w:r>
      <w:r w:rsidR="002D7187">
        <w:t>).</w:t>
      </w:r>
      <w:r w:rsidR="00085B0C">
        <w:t xml:space="preserve">  The toroidal phase of the pitch angle perturbation also shifts relative to the vacuum field by roughly 90</w:t>
      </w:r>
      <w:r w:rsidR="00085B0C">
        <w:rPr>
          <w:rFonts w:cs="Times New Roman"/>
        </w:rPr>
        <w:t>°</w:t>
      </w:r>
      <w:r w:rsidR="00085B0C">
        <w:t>.</w:t>
      </w:r>
    </w:p>
    <w:p w14:paraId="1B27605A" w14:textId="77777777" w:rsidR="002D7187" w:rsidRPr="000B5F81" w:rsidRDefault="002D7187" w:rsidP="000B5F81"/>
    <w:p w14:paraId="5FA035BC" w14:textId="77777777" w:rsidR="00512D91" w:rsidRDefault="00512D91" w:rsidP="00512D91">
      <w:r>
        <w:rPr>
          <w:noProof/>
        </w:rPr>
        <w:drawing>
          <wp:inline distT="0" distB="0" distL="0" distR="0" wp14:anchorId="7B11E9FB" wp14:editId="327D007A">
            <wp:extent cx="2714588" cy="217167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ferraro:data:NSTX-U:116313:116313_tf_dPitchR_1f_free_rot.eps"/>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14588" cy="2171671"/>
                    </a:xfrm>
                    <a:prstGeom prst="rect">
                      <a:avLst/>
                    </a:prstGeom>
                    <a:noFill/>
                    <a:ln>
                      <a:noFill/>
                    </a:ln>
                  </pic:spPr>
                </pic:pic>
              </a:graphicData>
            </a:graphic>
          </wp:inline>
        </w:drawing>
      </w:r>
      <w:r>
        <w:rPr>
          <w:noProof/>
        </w:rPr>
        <w:drawing>
          <wp:inline distT="0" distB="0" distL="0" distR="0" wp14:anchorId="309CA4D1" wp14:editId="6C9BEE9D">
            <wp:extent cx="2714588" cy="217167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ferraro:data:NSTX-U:116313:116313_tf_dPitchZ_1f_free_rot.ep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14588" cy="2171671"/>
                    </a:xfrm>
                    <a:prstGeom prst="rect">
                      <a:avLst/>
                    </a:prstGeom>
                    <a:noFill/>
                    <a:ln>
                      <a:noFill/>
                    </a:ln>
                  </pic:spPr>
                </pic:pic>
              </a:graphicData>
            </a:graphic>
          </wp:inline>
        </w:drawing>
      </w:r>
    </w:p>
    <w:p w14:paraId="203A63C3" w14:textId="329E1FF8" w:rsidR="00512D91" w:rsidRDefault="00512D91" w:rsidP="00512D91">
      <w:pPr>
        <w:pStyle w:val="Caption"/>
      </w:pPr>
      <w:r>
        <w:t xml:space="preserve">Figure </w:t>
      </w:r>
      <w:r w:rsidR="00960441">
        <w:fldChar w:fldCharType="begin"/>
      </w:r>
      <w:r w:rsidR="00960441">
        <w:instrText xml:space="preserve"> SEQ Figure \* ARABIC </w:instrText>
      </w:r>
      <w:r w:rsidR="00960441">
        <w:fldChar w:fldCharType="separate"/>
      </w:r>
      <w:r w:rsidR="00CC1BC1">
        <w:rPr>
          <w:noProof/>
        </w:rPr>
        <w:t>6</w:t>
      </w:r>
      <w:r w:rsidR="00960441">
        <w:rPr>
          <w:noProof/>
        </w:rPr>
        <w:fldChar w:fldCharType="end"/>
      </w:r>
      <w:r>
        <w:t>—</w:t>
      </w:r>
      <w:r w:rsidR="008B6B07">
        <w:rPr>
          <w:b/>
        </w:rPr>
        <w:t>Total Field</w:t>
      </w:r>
      <w:r w:rsidR="002D7187" w:rsidRPr="002D7187">
        <w:rPr>
          <w:b/>
        </w:rPr>
        <w:t>, Resistive Wall.</w:t>
      </w:r>
      <w:r w:rsidR="002D7187">
        <w:t xml:space="preserve">  </w:t>
      </w:r>
      <w:r>
        <w:t xml:space="preserve">The values of </w:t>
      </w:r>
      <m:oMath>
        <m:sSub>
          <m:sSubPr>
            <m:ctrlPr>
              <w:rPr>
                <w:rFonts w:ascii="Cambria Math" w:hAnsi="Cambria Math"/>
              </w:rPr>
            </m:ctrlPr>
          </m:sSubPr>
          <m:e>
            <m:r>
              <w:rPr>
                <w:rFonts w:ascii="Cambria Math" w:hAnsi="Cambria Math"/>
              </w:rPr>
              <m:t>δB</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R=0.45</m:t>
        </m:r>
      </m:oMath>
      <w:r>
        <w:t xml:space="preserve"> m (left) and </w:t>
      </w:r>
      <m:oMath>
        <m:r>
          <w:rPr>
            <w:rFonts w:ascii="Cambria Math" w:hAnsi="Cambria Math"/>
          </w:rPr>
          <m:t>δ</m:t>
        </m:r>
        <m:sSub>
          <m:sSubPr>
            <m:ctrlPr>
              <w:rPr>
                <w:rFonts w:ascii="Cambria Math" w:hAnsi="Cambria Math"/>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φ</m:t>
            </m:r>
          </m:sub>
        </m:sSub>
      </m:oMath>
      <w:r>
        <w:t xml:space="preserve"> at </w:t>
      </w:r>
      <m:oMath>
        <m:r>
          <w:rPr>
            <w:rFonts w:ascii="Cambria Math" w:hAnsi="Cambria Math"/>
          </w:rPr>
          <m:t>Z=-1.6</m:t>
        </m:r>
      </m:oMath>
      <w:r>
        <w:t xml:space="preserve"> m (right) for the model equilibrium NSTX-U 11613.00851_NfHz0+_0, from the TF error field model, including the plasma response and the effect of a resistive wall.  The inner </w:t>
      </w:r>
      <w:proofErr w:type="spellStart"/>
      <w:r>
        <w:t>divertor</w:t>
      </w:r>
      <w:proofErr w:type="spellEnd"/>
      <w:r>
        <w:t xml:space="preserve"> leg passes through </w:t>
      </w:r>
      <m:oMath>
        <m:r>
          <w:rPr>
            <w:rFonts w:ascii="Cambria Math" w:hAnsi="Cambria Math"/>
          </w:rPr>
          <m:t>R=0.45</m:t>
        </m:r>
      </m:oMath>
      <w:r>
        <w:t xml:space="preserve"> at </w:t>
      </w:r>
      <m:oMath>
        <m:r>
          <w:rPr>
            <w:rFonts w:ascii="Cambria Math" w:hAnsi="Cambria Math"/>
          </w:rPr>
          <m:t>Z=-1.477</m:t>
        </m:r>
      </m:oMath>
      <w:r>
        <w:t xml:space="preserve"> m, and the outer divertor leg passes through </w:t>
      </w:r>
      <m:oMath>
        <m:r>
          <w:rPr>
            <w:rFonts w:ascii="Cambria Math" w:hAnsi="Cambria Math"/>
          </w:rPr>
          <m:t>Z=-1.6</m:t>
        </m:r>
      </m:oMath>
      <w:r>
        <w:t xml:space="preserve"> m at </w:t>
      </w:r>
      <m:oMath>
        <m:r>
          <w:rPr>
            <w:rFonts w:ascii="Cambria Math" w:hAnsi="Cambria Math"/>
          </w:rPr>
          <m:t>R=0.569</m:t>
        </m:r>
      </m:oMath>
      <w:r>
        <w:t xml:space="preserve"> m.</w:t>
      </w:r>
    </w:p>
    <w:p w14:paraId="5DE3D942" w14:textId="285D396D" w:rsidR="00EE2AF6" w:rsidRDefault="00EE2AF6" w:rsidP="002C2E1B">
      <w:pPr>
        <w:jc w:val="both"/>
      </w:pPr>
      <w:r>
        <w:lastRenderedPageBreak/>
        <w:t>The free-boundary calculation may overestimate the plasma response by neglecting the fields due to eddy currents induced in surrounding conducting structures</w:t>
      </w:r>
      <w:r w:rsidR="00CF08B8">
        <w:t xml:space="preserve"> by the rotating plasma</w:t>
      </w:r>
      <w:r>
        <w:t xml:space="preserve">.  Here we consider the effect of those currents by modeling the </w:t>
      </w:r>
      <w:r w:rsidR="0096562D">
        <w:t>first wall as having</w:t>
      </w:r>
      <w:r>
        <w:t xml:space="preserve"> resistivity </w:t>
      </w:r>
      <m:oMath>
        <m:sSub>
          <m:sSubPr>
            <m:ctrlPr>
              <w:rPr>
                <w:rFonts w:ascii="Cambria Math" w:hAnsi="Cambria Math"/>
                <w:i/>
              </w:rPr>
            </m:ctrlPr>
          </m:sSubPr>
          <m:e>
            <m:r>
              <w:rPr>
                <w:rFonts w:ascii="Cambria Math" w:hAnsi="Cambria Math"/>
              </w:rPr>
              <m:t>η</m:t>
            </m:r>
          </m:e>
          <m:sub>
            <m:r>
              <w:rPr>
                <w:rFonts w:ascii="Cambria Math" w:hAnsi="Cambria Math"/>
              </w:rPr>
              <m:t>W</m:t>
            </m:r>
          </m:sub>
        </m:sSub>
        <m:r>
          <w:rPr>
            <w:rFonts w:ascii="Cambria Math" w:hAnsi="Cambria Math"/>
          </w:rPr>
          <m:t>=1.9</m:t>
        </m:r>
        <m:r>
          <w:rPr>
            <w:rFonts w:ascii="Cambria Math" w:hAnsi="Cambria Math" w:cs="Times New Roman"/>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w:t>
      </w:r>
      <w:proofErr w:type="spellStart"/>
      <w:r>
        <w:rPr>
          <w:rFonts w:cs="Times New Roman"/>
        </w:rPr>
        <w:t>Ω</w:t>
      </w:r>
      <w:r>
        <w:t>m</w:t>
      </w:r>
      <w:proofErr w:type="spellEnd"/>
      <w:r>
        <w:t xml:space="preserve"> and thickness </w:t>
      </w:r>
      <m:oMath>
        <m:r>
          <w:rPr>
            <w:rFonts w:ascii="Cambria Math" w:hAnsi="Cambria Math"/>
          </w:rPr>
          <m:t>d=2</m:t>
        </m:r>
      </m:oMath>
      <w:r>
        <w:t xml:space="preserve"> cm. </w:t>
      </w:r>
      <w:r w:rsidR="00F374F8">
        <w:t>T</w:t>
      </w:r>
      <w:r>
        <w:t xml:space="preserve">his implies a wall time of </w:t>
      </w:r>
      <m:oMath>
        <m:sSub>
          <m:sSubPr>
            <m:ctrlPr>
              <w:rPr>
                <w:rFonts w:ascii="Cambria Math" w:hAnsi="Cambria Math"/>
                <w:i/>
              </w:rPr>
            </m:ctrlPr>
          </m:sSubPr>
          <m:e>
            <m:r>
              <w:rPr>
                <w:rFonts w:ascii="Cambria Math" w:hAnsi="Cambria Math"/>
              </w:rPr>
              <m:t>τ</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da/2</m:t>
        </m:r>
        <m:sSub>
          <m:sSubPr>
            <m:ctrlPr>
              <w:rPr>
                <w:rFonts w:ascii="Cambria Math" w:hAnsi="Cambria Math"/>
                <w:i/>
              </w:rPr>
            </m:ctrlPr>
          </m:sSubPr>
          <m:e>
            <m:r>
              <w:rPr>
                <w:rFonts w:ascii="Cambria Math" w:hAnsi="Cambria Math"/>
              </w:rPr>
              <m:t>η</m:t>
            </m:r>
          </m:e>
          <m:sub>
            <m:r>
              <w:rPr>
                <w:rFonts w:ascii="Cambria Math" w:hAnsi="Cambria Math"/>
              </w:rPr>
              <m:t>W</m:t>
            </m:r>
          </m:sub>
        </m:sSub>
        <m:r>
          <w:rPr>
            <w:rFonts w:ascii="Cambria Math" w:hAnsi="Cambria Math"/>
          </w:rPr>
          <m:t>=0.6</m:t>
        </m:r>
      </m:oMath>
      <w:r w:rsidR="00F374F8">
        <w:t xml:space="preserve"> ms, choosing </w:t>
      </w:r>
      <m:oMath>
        <m:r>
          <w:rPr>
            <w:rFonts w:ascii="Cambria Math" w:hAnsi="Cambria Math"/>
          </w:rPr>
          <m:t>a=1</m:t>
        </m:r>
      </m:oMath>
      <w:r w:rsidR="00F374F8">
        <w:t xml:space="preserve"> m.</w:t>
      </w:r>
      <w:r w:rsidR="008B6B07">
        <w:t xml:space="preserve"> As in the free-boundary case, the</w:t>
      </w:r>
      <w:r w:rsidR="00B50A81">
        <w:t xml:space="preserve"> perturbed </w:t>
      </w:r>
      <w:r w:rsidR="008B6B07">
        <w:t xml:space="preserve">pitch angle at </w:t>
      </w:r>
      <m:oMath>
        <m:r>
          <m:rPr>
            <m:sty m:val="p"/>
          </m:rPr>
          <w:rPr>
            <w:rFonts w:ascii="Cambria Math" w:hAnsi="Cambria Math"/>
          </w:rPr>
          <m:t>R=0.45</m:t>
        </m:r>
      </m:oMath>
      <w:r w:rsidR="008B6B07">
        <w:t xml:space="preserve"> m is essentially unchanged from the vacuum field.  </w:t>
      </w:r>
      <w:r w:rsidR="00B50A81">
        <w:t xml:space="preserve">However, the inclusion of the resistive wall causes the perturbed pitch angle at </w:t>
      </w:r>
      <m:oMath>
        <m:r>
          <m:rPr>
            <m:sty m:val="p"/>
          </m:rPr>
          <w:rPr>
            <w:rFonts w:ascii="Cambria Math" w:hAnsi="Cambria Math"/>
          </w:rPr>
          <m:t>Z=-1.6</m:t>
        </m:r>
      </m:oMath>
      <w:r w:rsidR="00B50A81">
        <w:t xml:space="preserve"> to resemble the vacuum field more closely than the free-boundary calculation.  With the resistive wall, the maximum perturbation to the pitch angle at </w:t>
      </w:r>
      <m:oMath>
        <m:r>
          <m:rPr>
            <m:sty m:val="p"/>
          </m:rPr>
          <w:rPr>
            <w:rFonts w:ascii="Cambria Math" w:hAnsi="Cambria Math"/>
          </w:rPr>
          <m:t>Z=-1.6</m:t>
        </m:r>
      </m:oMath>
      <w:r w:rsidR="00B50A81">
        <w:t xml:space="preserve"> is roughly 1.5 mrad (the same as for the vacuum field), and the toroidal phase of the perturbation is smaller than in the free-boundary </w:t>
      </w:r>
      <w:r w:rsidR="002C2E1B">
        <w:t>calculation</w:t>
      </w:r>
      <w:r w:rsidR="00B50A81">
        <w:t>.</w:t>
      </w:r>
    </w:p>
    <w:p w14:paraId="6D0C7AF2" w14:textId="77777777" w:rsidR="00C514C2" w:rsidRPr="00EE2AF6" w:rsidRDefault="00C514C2" w:rsidP="002C2E1B">
      <w:pPr>
        <w:jc w:val="both"/>
      </w:pPr>
    </w:p>
    <w:p w14:paraId="72F5AA27" w14:textId="27A76910" w:rsidR="00544A3B" w:rsidRDefault="007836DB" w:rsidP="007836DB">
      <w:pPr>
        <w:pStyle w:val="Heading2"/>
      </w:pPr>
      <w:r>
        <w:t>Conclusions</w:t>
      </w:r>
    </w:p>
    <w:p w14:paraId="7919B1E7" w14:textId="77777777" w:rsidR="002C2E1B" w:rsidRDefault="002C2E1B" w:rsidP="00B50A81"/>
    <w:p w14:paraId="0E8FF44E" w14:textId="04B052D7" w:rsidR="00B50A81" w:rsidRDefault="00B50A81" w:rsidP="002C2E1B">
      <w:pPr>
        <w:jc w:val="both"/>
      </w:pPr>
      <w:r>
        <w:t xml:space="preserve">We have analyzed the perturbation to the field line pitch angle </w:t>
      </w:r>
      <w:r w:rsidR="00F228AA">
        <w:t xml:space="preserve">due to a model of the NSTX-U TF rod misalignment in a high-beta model NSTX-U discharge.  The perturbed pitch angle was calculated </w:t>
      </w:r>
      <w:r>
        <w:t xml:space="preserve">near the </w:t>
      </w:r>
      <w:r w:rsidR="00F228AA">
        <w:t>vertical (</w:t>
      </w:r>
      <m:oMath>
        <m:r>
          <m:rPr>
            <m:sty m:val="p"/>
          </m:rPr>
          <w:rPr>
            <w:rFonts w:ascii="Cambria Math" w:hAnsi="Cambria Math"/>
          </w:rPr>
          <m:t>R=0.45</m:t>
        </m:r>
      </m:oMath>
      <w:r w:rsidR="00F228AA">
        <w:t xml:space="preserve"> m) and horizon</w:t>
      </w:r>
      <w:proofErr w:type="spellStart"/>
      <w:r w:rsidR="00F228AA">
        <w:t>tal</w:t>
      </w:r>
      <w:proofErr w:type="spellEnd"/>
      <w:r w:rsidR="00F228AA">
        <w:t xml:space="preserve"> (</w:t>
      </w:r>
      <m:oMath>
        <m:r>
          <m:rPr>
            <m:sty m:val="p"/>
          </m:rPr>
          <w:rPr>
            <w:rFonts w:ascii="Cambria Math" w:hAnsi="Cambria Math"/>
          </w:rPr>
          <m:t>Z=-1.6</m:t>
        </m:r>
      </m:oMath>
      <w:r w:rsidR="00F228AA">
        <w:t xml:space="preserve"> m) divertor targets using a linear, single-fluid plasma response model with the M3D-C1 code.</w:t>
      </w:r>
    </w:p>
    <w:p w14:paraId="58B0761E" w14:textId="77777777" w:rsidR="00F228AA" w:rsidRDefault="00F228AA" w:rsidP="002C2E1B">
      <w:pPr>
        <w:jc w:val="both"/>
      </w:pPr>
    </w:p>
    <w:p w14:paraId="7B66B1D5" w14:textId="735E7DD0" w:rsidR="00F228AA" w:rsidRDefault="00F228AA" w:rsidP="002C2E1B">
      <w:pPr>
        <w:jc w:val="both"/>
      </w:pPr>
      <w:r>
        <w:t xml:space="preserve">It is found that the maximum perturbation to the pitch angle due to the error field alone (in the absence of plasma response) at </w:t>
      </w:r>
      <m:oMath>
        <m:r>
          <m:rPr>
            <m:sty m:val="p"/>
          </m:rPr>
          <w:rPr>
            <w:rFonts w:ascii="Cambria Math" w:hAnsi="Cambria Math"/>
          </w:rPr>
          <m:t>R=0.45</m:t>
        </m:r>
      </m:oMath>
      <w:r>
        <w:t xml:space="preserve"> and </w:t>
      </w:r>
      <m:oMath>
        <m:r>
          <m:rPr>
            <m:sty m:val="p"/>
          </m:rPr>
          <w:rPr>
            <w:rFonts w:ascii="Cambria Math" w:hAnsi="Cambria Math"/>
          </w:rPr>
          <m:t>Z=-1.6</m:t>
        </m:r>
      </m:oMath>
      <w:r>
        <w:t xml:space="preserve"> is roughly 7.5 </w:t>
      </w:r>
      <w:proofErr w:type="spellStart"/>
      <w:r>
        <w:t>mrad</w:t>
      </w:r>
      <w:proofErr w:type="spellEnd"/>
      <w:r>
        <w:t xml:space="preserve"> (0.43</w:t>
      </w:r>
      <w:r>
        <w:rPr>
          <w:rFonts w:cs="Times New Roman"/>
        </w:rPr>
        <w:t>°)</w:t>
      </w:r>
      <w:r>
        <w:t xml:space="preserve"> and 1.5 </w:t>
      </w:r>
      <w:proofErr w:type="spellStart"/>
      <w:r>
        <w:t>mrad</w:t>
      </w:r>
      <w:proofErr w:type="spellEnd"/>
      <w:r>
        <w:t xml:space="preserve"> (.09</w:t>
      </w:r>
      <w:r>
        <w:rPr>
          <w:rFonts w:cs="Times New Roman"/>
        </w:rPr>
        <w:t>°)</w:t>
      </w:r>
      <w:r>
        <w:t>, respectively.  The plasma response is generally found to increase the maximum perturbation to the pitch angle, especially at the horizontal target.  However, when the effect of the resistive wall is included, the primary effect of the plasma response appears to be a toroidal phase shift of the perturbed field, with the maximum perturbed pitch angle remaining comparable to the vacuum field.</w:t>
      </w:r>
    </w:p>
    <w:p w14:paraId="1B70E02B" w14:textId="77777777" w:rsidR="002C2E1B" w:rsidRDefault="002C2E1B" w:rsidP="002C2E1B">
      <w:pPr>
        <w:jc w:val="both"/>
      </w:pPr>
    </w:p>
    <w:p w14:paraId="5C764122" w14:textId="7040AC74" w:rsidR="007836DB" w:rsidRPr="007836DB" w:rsidRDefault="00F228AA" w:rsidP="002C2E1B">
      <w:pPr>
        <w:jc w:val="both"/>
      </w:pPr>
      <w:r>
        <w:t xml:space="preserve">The TF error, while believed to be the largest error field in NSTX-U, is </w:t>
      </w:r>
      <w:r w:rsidR="0012115F">
        <w:t xml:space="preserve">dominantly </w:t>
      </w:r>
      <m:oMath>
        <m:r>
          <w:rPr>
            <w:rFonts w:ascii="Cambria Math" w:hAnsi="Cambria Math"/>
          </w:rPr>
          <m:t>m=1</m:t>
        </m:r>
      </m:oMath>
      <w:r w:rsidR="0012115F">
        <w:t xml:space="preserve"> </w:t>
      </w:r>
      <w:proofErr w:type="gramStart"/>
      <w:r w:rsidR="0012115F">
        <w:t xml:space="preserve">and </w:t>
      </w:r>
      <w:proofErr w:type="gramEnd"/>
      <m:oMath>
        <m:r>
          <w:rPr>
            <w:rFonts w:ascii="Cambria Math" w:hAnsi="Cambria Math"/>
          </w:rPr>
          <m:t>n=1</m:t>
        </m:r>
      </m:oMath>
      <w:r w:rsidR="0012115F">
        <w:t xml:space="preserve">, and </w:t>
      </w:r>
      <w:r>
        <w:t xml:space="preserve">not strongly resonant with the plasma.  </w:t>
      </w:r>
      <w:r w:rsidR="0012115F">
        <w:t>This fact may contribute to the relative weakness of the plasma response in these calculations.  We note, however, that in response calculations that did not include plasma rotation (not shown here), the perturbed fields due to the plasma response was found to exceed the vacuum field significantly.  This is likely because the high-beta model equilibrium considered here is unstable in the absence of rotation, and therefore the large calculated response reflects the instability of the plasma</w:t>
      </w:r>
      <w:r w:rsidR="006E7AB6">
        <w:t xml:space="preserve"> [</w:t>
      </w:r>
      <w:proofErr w:type="spellStart"/>
      <w:r w:rsidR="006E7AB6">
        <w:t>Lanctot</w:t>
      </w:r>
      <w:proofErr w:type="spellEnd"/>
      <w:r w:rsidR="006E7AB6">
        <w:t xml:space="preserve"> 2010]</w:t>
      </w:r>
      <w:r w:rsidR="0012115F">
        <w:t>.  This does raise the concern that the plasma response may become quite large as the plasma approaches marginal stability.</w:t>
      </w:r>
    </w:p>
    <w:p w14:paraId="7DA3EA4F" w14:textId="77777777" w:rsidR="000C59BE" w:rsidRDefault="000C59BE" w:rsidP="00CC1BC1">
      <w:pPr>
        <w:pStyle w:val="Heading2"/>
      </w:pPr>
      <w:r>
        <w:t>References</w:t>
      </w:r>
    </w:p>
    <w:p w14:paraId="77762FF4" w14:textId="77777777" w:rsidR="00FD4AD1" w:rsidRPr="002B6E29" w:rsidRDefault="00FD4AD1" w:rsidP="002B6E29">
      <w:pPr>
        <w:pStyle w:val="References"/>
      </w:pPr>
      <w:r w:rsidRPr="002B6E29">
        <w:t xml:space="preserve">[Ferraro 2012] Ferraro NM.  </w:t>
      </w:r>
      <w:r w:rsidRPr="00D90AF6">
        <w:rPr>
          <w:i/>
        </w:rPr>
        <w:t>Phys. Plasmas</w:t>
      </w:r>
      <w:r w:rsidRPr="002B6E29">
        <w:t xml:space="preserve"> </w:t>
      </w:r>
      <w:r w:rsidRPr="00D90AF6">
        <w:rPr>
          <w:b/>
        </w:rPr>
        <w:t>19</w:t>
      </w:r>
      <w:r w:rsidRPr="002B6E29">
        <w:t>, 056105 (2012)</w:t>
      </w:r>
    </w:p>
    <w:p w14:paraId="1460C832" w14:textId="7DA4983F" w:rsidR="000C59BE" w:rsidRPr="002B6E29" w:rsidRDefault="000C59BE" w:rsidP="002B6E29">
      <w:pPr>
        <w:pStyle w:val="References"/>
      </w:pPr>
      <w:r w:rsidRPr="002B6E29">
        <w:t>[F</w:t>
      </w:r>
      <w:r w:rsidR="004E6082">
        <w:t>MP</w:t>
      </w:r>
      <w:r w:rsidRPr="002B6E29">
        <w:t xml:space="preserve"> 2017]</w:t>
      </w:r>
      <w:r w:rsidRPr="002B6E29">
        <w:tab/>
        <w:t xml:space="preserve"> Ferraro NM, Myers CE, Park J-K.  “Assessment of error fields from TF Rod and PF5 in NSTX-U.”  PPPL Memo, </w:t>
      </w:r>
      <w:r w:rsidR="00FD4AD1" w:rsidRPr="002B6E29">
        <w:t>(</w:t>
      </w:r>
      <w:r w:rsidRPr="002B6E29">
        <w:t>April 30, 2017</w:t>
      </w:r>
      <w:r w:rsidR="00FD4AD1" w:rsidRPr="002B6E29">
        <w:t>)</w:t>
      </w:r>
    </w:p>
    <w:p w14:paraId="207112E6" w14:textId="3145406A" w:rsidR="00ED5733" w:rsidRPr="00ED5733" w:rsidRDefault="00FD4AD1" w:rsidP="002B6E29">
      <w:pPr>
        <w:pStyle w:val="References"/>
      </w:pPr>
      <w:r w:rsidRPr="002B6E29">
        <w:t>[</w:t>
      </w:r>
      <w:proofErr w:type="spellStart"/>
      <w:r w:rsidRPr="002B6E29">
        <w:t>Lanctot</w:t>
      </w:r>
      <w:proofErr w:type="spellEnd"/>
      <w:r w:rsidRPr="002B6E29">
        <w:t xml:space="preserve"> 2010] </w:t>
      </w:r>
      <w:proofErr w:type="spellStart"/>
      <w:r w:rsidRPr="002B6E29">
        <w:t>Lanctot</w:t>
      </w:r>
      <w:proofErr w:type="spellEnd"/>
      <w:r w:rsidRPr="002B6E29">
        <w:t xml:space="preserve"> MJ, </w:t>
      </w:r>
      <w:r w:rsidRPr="00D90AF6">
        <w:rPr>
          <w:i/>
        </w:rPr>
        <w:t>et al.  Phys. Plasmas</w:t>
      </w:r>
      <w:r w:rsidRPr="002B6E29">
        <w:t xml:space="preserve"> </w:t>
      </w:r>
      <w:r w:rsidRPr="00D90AF6">
        <w:rPr>
          <w:b/>
        </w:rPr>
        <w:t>17</w:t>
      </w:r>
      <w:r w:rsidRPr="002B6E29">
        <w:t>, 030701 (2010)</w:t>
      </w:r>
    </w:p>
    <w:sectPr w:rsidR="00ED5733" w:rsidRPr="00ED5733" w:rsidSect="007E7062">
      <w:footerReference w:type="even" r:id="rId19"/>
      <w:footerReference w:type="default" r:id="rId20"/>
      <w:headerReference w:type="first" r:id="rId21"/>
      <w:footerReference w:type="firs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11645" w14:textId="77777777" w:rsidR="005E372C" w:rsidRDefault="005E372C" w:rsidP="008E3CDC">
      <w:r>
        <w:separator/>
      </w:r>
    </w:p>
  </w:endnote>
  <w:endnote w:type="continuationSeparator" w:id="0">
    <w:p w14:paraId="48C80379" w14:textId="77777777" w:rsidR="005E372C" w:rsidRDefault="005E372C" w:rsidP="008E3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Neue">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D4B0" w14:textId="77777777" w:rsidR="00F94F22" w:rsidRDefault="00F94F22" w:rsidP="000C59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9F2CFE" w14:textId="77777777" w:rsidR="00F94F22" w:rsidRDefault="00F94F22" w:rsidP="00B557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4519D" w14:textId="77777777" w:rsidR="00F94F22" w:rsidRDefault="00F94F22" w:rsidP="000C59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6866">
      <w:rPr>
        <w:rStyle w:val="PageNumber"/>
        <w:noProof/>
      </w:rPr>
      <w:t>3</w:t>
    </w:r>
    <w:r>
      <w:rPr>
        <w:rStyle w:val="PageNumber"/>
      </w:rPr>
      <w:fldChar w:fldCharType="end"/>
    </w:r>
  </w:p>
  <w:p w14:paraId="02CBBB12" w14:textId="26FBE964" w:rsidR="00F94F22" w:rsidRDefault="007E7062" w:rsidP="00B557C3">
    <w:pPr>
      <w:pStyle w:val="Footer"/>
      <w:ind w:right="360"/>
    </w:pPr>
    <w:r>
      <w:t>PFCR-MEMO-006-00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E21A" w14:textId="77777777" w:rsidR="007E7062" w:rsidRDefault="007E7062" w:rsidP="007E7062">
    <w:pPr>
      <w:pStyle w:val="Footer"/>
      <w:ind w:right="360"/>
    </w:pPr>
    <w:r>
      <w:t>PFCR-MEMO-006-00</w:t>
    </w:r>
  </w:p>
  <w:p w14:paraId="4712AFAE" w14:textId="77777777" w:rsidR="007E7062" w:rsidRPr="007E7062" w:rsidRDefault="007E7062" w:rsidP="007E7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99EEA" w14:textId="77777777" w:rsidR="005E372C" w:rsidRDefault="005E372C" w:rsidP="008E3CDC">
      <w:r>
        <w:separator/>
      </w:r>
    </w:p>
  </w:footnote>
  <w:footnote w:type="continuationSeparator" w:id="0">
    <w:p w14:paraId="6966A8E3" w14:textId="77777777" w:rsidR="005E372C" w:rsidRDefault="005E372C" w:rsidP="008E3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ED63D" w14:textId="1ECA67C8" w:rsidR="007E7062" w:rsidRDefault="007E7062">
    <w:pPr>
      <w:pStyle w:val="Header"/>
    </w:pPr>
    <w:r>
      <w:rPr>
        <w:noProof/>
      </w:rPr>
      <w:drawing>
        <wp:inline distT="0" distB="0" distL="0" distR="0" wp14:anchorId="55FC3028" wp14:editId="0B8ADCB4">
          <wp:extent cx="5486400" cy="394335"/>
          <wp:effectExtent l="0" t="0" r="0" b="5715"/>
          <wp:docPr id="2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
                  <a:srcRect/>
                  <a:stretch>
                    <a:fillRect/>
                  </a:stretch>
                </pic:blipFill>
                <pic:spPr>
                  <a:xfrm>
                    <a:off x="0" y="0"/>
                    <a:ext cx="5486400" cy="3943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B4F88"/>
    <w:multiLevelType w:val="multilevel"/>
    <w:tmpl w:val="04090025"/>
    <w:styleLink w:val="SectionHeadings"/>
    <w:lvl w:ilvl="0">
      <w:start w:val="1"/>
      <w:numFmt w:val="decimal"/>
      <w:pStyle w:val="Heading1"/>
      <w:lvlText w:val="%1"/>
      <w:lvlJc w:val="left"/>
      <w:pPr>
        <w:ind w:left="432" w:hanging="432"/>
      </w:pPr>
    </w:lvl>
    <w:lvl w:ilvl="1">
      <w:start w:val="1"/>
      <w:numFmt w:val="decimal"/>
      <w:pStyle w:val="Heading2"/>
      <w:lvlText w:val="%1.%2"/>
      <w:lvlJc w:val="left"/>
      <w:pPr>
        <w:ind w:left="921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5EE1176D"/>
    <w:multiLevelType w:val="multilevel"/>
    <w:tmpl w:val="04090025"/>
    <w:numStyleLink w:val="SectionHeading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BE"/>
    <w:rsid w:val="00023759"/>
    <w:rsid w:val="0004129E"/>
    <w:rsid w:val="00046866"/>
    <w:rsid w:val="00085B0C"/>
    <w:rsid w:val="000A01F9"/>
    <w:rsid w:val="000A5849"/>
    <w:rsid w:val="000B5F81"/>
    <w:rsid w:val="000C59BE"/>
    <w:rsid w:val="000E2D24"/>
    <w:rsid w:val="000F6E38"/>
    <w:rsid w:val="0012115F"/>
    <w:rsid w:val="002A0505"/>
    <w:rsid w:val="002B6E29"/>
    <w:rsid w:val="002C2E1B"/>
    <w:rsid w:val="002D7187"/>
    <w:rsid w:val="0036423C"/>
    <w:rsid w:val="0037680F"/>
    <w:rsid w:val="003D3B8F"/>
    <w:rsid w:val="003F3E6C"/>
    <w:rsid w:val="00420DB0"/>
    <w:rsid w:val="004547B8"/>
    <w:rsid w:val="004B6BCF"/>
    <w:rsid w:val="004E6082"/>
    <w:rsid w:val="00512D91"/>
    <w:rsid w:val="005430F3"/>
    <w:rsid w:val="00544A3B"/>
    <w:rsid w:val="005C7546"/>
    <w:rsid w:val="005D7114"/>
    <w:rsid w:val="005E372C"/>
    <w:rsid w:val="00605C72"/>
    <w:rsid w:val="00645482"/>
    <w:rsid w:val="00682B55"/>
    <w:rsid w:val="00684390"/>
    <w:rsid w:val="006E7AB6"/>
    <w:rsid w:val="007022D0"/>
    <w:rsid w:val="00770A0C"/>
    <w:rsid w:val="007836DB"/>
    <w:rsid w:val="007A7E84"/>
    <w:rsid w:val="007E7062"/>
    <w:rsid w:val="008A6857"/>
    <w:rsid w:val="008B6B07"/>
    <w:rsid w:val="008C097A"/>
    <w:rsid w:val="008C3F07"/>
    <w:rsid w:val="008E3CDC"/>
    <w:rsid w:val="00953C62"/>
    <w:rsid w:val="00960441"/>
    <w:rsid w:val="0096562D"/>
    <w:rsid w:val="0097001C"/>
    <w:rsid w:val="00996443"/>
    <w:rsid w:val="009D74DF"/>
    <w:rsid w:val="009E0ECB"/>
    <w:rsid w:val="009F2B76"/>
    <w:rsid w:val="00A04AB9"/>
    <w:rsid w:val="00A22960"/>
    <w:rsid w:val="00A6252F"/>
    <w:rsid w:val="00A95649"/>
    <w:rsid w:val="00AD790B"/>
    <w:rsid w:val="00B34858"/>
    <w:rsid w:val="00B50A81"/>
    <w:rsid w:val="00B557C3"/>
    <w:rsid w:val="00BA64D0"/>
    <w:rsid w:val="00BE24D5"/>
    <w:rsid w:val="00C47A67"/>
    <w:rsid w:val="00C514C2"/>
    <w:rsid w:val="00CB35CE"/>
    <w:rsid w:val="00CC1BC1"/>
    <w:rsid w:val="00CF08B8"/>
    <w:rsid w:val="00D27E8E"/>
    <w:rsid w:val="00D57039"/>
    <w:rsid w:val="00D62A29"/>
    <w:rsid w:val="00D6301B"/>
    <w:rsid w:val="00D74227"/>
    <w:rsid w:val="00D90AF6"/>
    <w:rsid w:val="00DA6027"/>
    <w:rsid w:val="00DE3D46"/>
    <w:rsid w:val="00DE7935"/>
    <w:rsid w:val="00E16C72"/>
    <w:rsid w:val="00ED5733"/>
    <w:rsid w:val="00EE2AF6"/>
    <w:rsid w:val="00EF241C"/>
    <w:rsid w:val="00F00258"/>
    <w:rsid w:val="00F11948"/>
    <w:rsid w:val="00F228AA"/>
    <w:rsid w:val="00F36D86"/>
    <w:rsid w:val="00F374F8"/>
    <w:rsid w:val="00F94F22"/>
    <w:rsid w:val="00FD4AD1"/>
    <w:rsid w:val="00FF2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4BD1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039"/>
  </w:style>
  <w:style w:type="paragraph" w:styleId="Heading1">
    <w:name w:val="heading 1"/>
    <w:basedOn w:val="Normal"/>
    <w:next w:val="Normal"/>
    <w:link w:val="Heading1Char"/>
    <w:uiPriority w:val="9"/>
    <w:qFormat/>
    <w:rsid w:val="000C59BE"/>
    <w:pPr>
      <w:keepNext/>
      <w:keepLines/>
      <w:pageBreakBefore/>
      <w:numPr>
        <w:numId w:val="2"/>
      </w:numPr>
      <w:spacing w:before="480" w:after="16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ED5733"/>
    <w:pPr>
      <w:keepNext/>
      <w:keepLines/>
      <w:numPr>
        <w:ilvl w:val="1"/>
        <w:numId w:val="2"/>
      </w:numPr>
      <w:spacing w:before="200"/>
      <w:ind w:left="576"/>
      <w:outlineLvl w:val="1"/>
    </w:pPr>
    <w:rPr>
      <w:rFonts w:ascii="Arial" w:eastAsiaTheme="majorEastAsia" w:hAnsi="Arial" w:cstheme="majorBidi"/>
      <w:b/>
      <w:bCs/>
      <w:sz w:val="28"/>
      <w:szCs w:val="28"/>
    </w:rPr>
  </w:style>
  <w:style w:type="paragraph" w:styleId="Heading3">
    <w:name w:val="heading 3"/>
    <w:basedOn w:val="Normal"/>
    <w:next w:val="Normal"/>
    <w:link w:val="Heading3Char"/>
    <w:uiPriority w:val="9"/>
    <w:unhideWhenUsed/>
    <w:qFormat/>
    <w:rsid w:val="00ED5733"/>
    <w:pPr>
      <w:keepNext/>
      <w:keepLines/>
      <w:numPr>
        <w:ilvl w:val="2"/>
        <w:numId w:val="2"/>
      </w:numPr>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ED5733"/>
    <w:pPr>
      <w:keepNext/>
      <w:keepLines/>
      <w:numPr>
        <w:ilvl w:val="3"/>
        <w:numId w:val="2"/>
      </w:numPr>
      <w:spacing w:before="200"/>
      <w:outlineLvl w:val="3"/>
    </w:pPr>
    <w:rPr>
      <w:rFonts w:ascii="Arial" w:eastAsiaTheme="majorEastAsia" w:hAnsi="Arial" w:cstheme="majorBidi"/>
      <w:b/>
      <w:bCs/>
      <w:i/>
      <w:iCs/>
    </w:rPr>
  </w:style>
  <w:style w:type="paragraph" w:styleId="Heading5">
    <w:name w:val="heading 5"/>
    <w:basedOn w:val="Normal"/>
    <w:next w:val="Normal"/>
    <w:link w:val="Heading5Char"/>
    <w:uiPriority w:val="9"/>
    <w:semiHidden/>
    <w:unhideWhenUsed/>
    <w:qFormat/>
    <w:rsid w:val="007A7E84"/>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7E8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7E8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7E8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7E8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link w:val="TitleChar"/>
    <w:uiPriority w:val="10"/>
    <w:qFormat/>
    <w:rsid w:val="00A95649"/>
    <w:pPr>
      <w:spacing w:after="300"/>
      <w:contextualSpacing/>
    </w:pPr>
    <w:rPr>
      <w:rFonts w:ascii="Arial" w:eastAsiaTheme="majorEastAsia" w:hAnsi="Arial" w:cstheme="majorBidi"/>
      <w:b/>
      <w:color w:val="17365D" w:themeColor="text2" w:themeShade="BF"/>
      <w:spacing w:val="5"/>
      <w:kern w:val="28"/>
      <w:sz w:val="52"/>
      <w:szCs w:val="52"/>
    </w:rPr>
  </w:style>
  <w:style w:type="numbering" w:customStyle="1" w:styleId="SectionHeadings">
    <w:name w:val="Section Headings"/>
    <w:basedOn w:val="NoList"/>
    <w:uiPriority w:val="99"/>
    <w:rsid w:val="007A7E84"/>
    <w:pPr>
      <w:numPr>
        <w:numId w:val="1"/>
      </w:numPr>
    </w:pPr>
  </w:style>
  <w:style w:type="character" w:customStyle="1" w:styleId="TitleChar">
    <w:name w:val="Title Char"/>
    <w:basedOn w:val="DefaultParagraphFont"/>
    <w:link w:val="Title"/>
    <w:uiPriority w:val="10"/>
    <w:rsid w:val="00A95649"/>
    <w:rPr>
      <w:rFonts w:ascii="Arial" w:eastAsiaTheme="majorEastAsia" w:hAnsi="Arial" w:cstheme="majorBidi"/>
      <w:b/>
      <w:color w:val="17365D" w:themeColor="text2" w:themeShade="BF"/>
      <w:spacing w:val="5"/>
      <w:kern w:val="28"/>
      <w:sz w:val="52"/>
      <w:szCs w:val="52"/>
    </w:rPr>
  </w:style>
  <w:style w:type="paragraph" w:styleId="ListParagraph">
    <w:name w:val="List Paragraph"/>
    <w:basedOn w:val="Normal"/>
    <w:uiPriority w:val="34"/>
    <w:qFormat/>
    <w:rsid w:val="007A7E84"/>
    <w:pPr>
      <w:ind w:left="720"/>
      <w:contextualSpacing/>
    </w:pPr>
  </w:style>
  <w:style w:type="paragraph" w:customStyle="1" w:styleId="Authors">
    <w:name w:val="Authors"/>
    <w:basedOn w:val="Normal"/>
    <w:qFormat/>
    <w:rsid w:val="00A95649"/>
    <w:rPr>
      <w:rFonts w:ascii="Arial" w:hAnsi="Arial"/>
      <w:sz w:val="32"/>
    </w:rPr>
  </w:style>
  <w:style w:type="paragraph" w:customStyle="1" w:styleId="Affiliations">
    <w:name w:val="Affiliations"/>
    <w:basedOn w:val="Authors"/>
    <w:qFormat/>
    <w:rsid w:val="00A95649"/>
    <w:rPr>
      <w:rFonts w:ascii="Times New Roman" w:hAnsi="Times New Roman"/>
      <w:i/>
      <w:sz w:val="28"/>
    </w:rPr>
  </w:style>
  <w:style w:type="paragraph" w:styleId="Header">
    <w:name w:val="header"/>
    <w:basedOn w:val="Normal"/>
    <w:link w:val="HeaderChar"/>
    <w:uiPriority w:val="99"/>
    <w:unhideWhenUsed/>
    <w:rsid w:val="008E3CDC"/>
    <w:pPr>
      <w:tabs>
        <w:tab w:val="center" w:pos="4320"/>
        <w:tab w:val="right" w:pos="8640"/>
      </w:tabs>
    </w:pPr>
  </w:style>
  <w:style w:type="character" w:customStyle="1" w:styleId="Heading1Char">
    <w:name w:val="Heading 1 Char"/>
    <w:basedOn w:val="DefaultParagraphFont"/>
    <w:link w:val="Heading1"/>
    <w:uiPriority w:val="9"/>
    <w:rsid w:val="000C59BE"/>
    <w:rPr>
      <w:rFonts w:ascii="Arial" w:eastAsiaTheme="majorEastAsia" w:hAnsi="Arial" w:cstheme="majorBidi"/>
      <w:b/>
      <w:bCs/>
      <w:sz w:val="32"/>
      <w:szCs w:val="32"/>
    </w:rPr>
  </w:style>
  <w:style w:type="character" w:customStyle="1" w:styleId="Heading2Char">
    <w:name w:val="Heading 2 Char"/>
    <w:basedOn w:val="DefaultParagraphFont"/>
    <w:link w:val="Heading2"/>
    <w:uiPriority w:val="9"/>
    <w:rsid w:val="00ED5733"/>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ED5733"/>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D5733"/>
    <w:rPr>
      <w:rFonts w:ascii="Arial" w:eastAsiaTheme="majorEastAsia" w:hAnsi="Arial" w:cstheme="majorBidi"/>
      <w:b/>
      <w:bCs/>
      <w:i/>
      <w:iCs/>
    </w:rPr>
  </w:style>
  <w:style w:type="character" w:customStyle="1" w:styleId="Heading5Char">
    <w:name w:val="Heading 5 Char"/>
    <w:basedOn w:val="DefaultParagraphFont"/>
    <w:link w:val="Heading5"/>
    <w:uiPriority w:val="9"/>
    <w:semiHidden/>
    <w:rsid w:val="007A7E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7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7E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7E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7E84"/>
    <w:rPr>
      <w:rFonts w:asciiTheme="majorHAnsi" w:eastAsiaTheme="majorEastAsia" w:hAnsiTheme="majorHAnsi" w:cstheme="majorBidi"/>
      <w:i/>
      <w:iCs/>
      <w:color w:val="404040" w:themeColor="text1" w:themeTint="BF"/>
      <w:sz w:val="20"/>
      <w:szCs w:val="20"/>
    </w:rPr>
  </w:style>
  <w:style w:type="character" w:customStyle="1" w:styleId="HeaderChar">
    <w:name w:val="Header Char"/>
    <w:basedOn w:val="DefaultParagraphFont"/>
    <w:link w:val="Header"/>
    <w:uiPriority w:val="99"/>
    <w:rsid w:val="008E3CDC"/>
  </w:style>
  <w:style w:type="paragraph" w:styleId="Footer">
    <w:name w:val="footer"/>
    <w:basedOn w:val="Normal"/>
    <w:link w:val="FooterChar"/>
    <w:uiPriority w:val="99"/>
    <w:unhideWhenUsed/>
    <w:rsid w:val="008E3CDC"/>
    <w:pPr>
      <w:tabs>
        <w:tab w:val="center" w:pos="4320"/>
        <w:tab w:val="right" w:pos="8640"/>
      </w:tabs>
    </w:pPr>
  </w:style>
  <w:style w:type="character" w:customStyle="1" w:styleId="FooterChar">
    <w:name w:val="Footer Char"/>
    <w:basedOn w:val="DefaultParagraphFont"/>
    <w:link w:val="Footer"/>
    <w:uiPriority w:val="99"/>
    <w:rsid w:val="008E3CDC"/>
  </w:style>
  <w:style w:type="character" w:styleId="PageNumber">
    <w:name w:val="page number"/>
    <w:basedOn w:val="DefaultParagraphFont"/>
    <w:uiPriority w:val="99"/>
    <w:semiHidden/>
    <w:unhideWhenUsed/>
    <w:rsid w:val="00B557C3"/>
  </w:style>
  <w:style w:type="paragraph" w:styleId="BalloonText">
    <w:name w:val="Balloon Text"/>
    <w:basedOn w:val="Normal"/>
    <w:link w:val="BalloonTextChar"/>
    <w:uiPriority w:val="99"/>
    <w:semiHidden/>
    <w:unhideWhenUsed/>
    <w:rsid w:val="000F6E38"/>
    <w:rPr>
      <w:rFonts w:ascii="Lucida Grande" w:hAnsi="Lucida Grande" w:cs="Lucida Grande"/>
      <w:sz w:val="18"/>
      <w:szCs w:val="18"/>
    </w:rPr>
  </w:style>
  <w:style w:type="paragraph" w:customStyle="1" w:styleId="References">
    <w:name w:val="References"/>
    <w:basedOn w:val="Normal"/>
    <w:qFormat/>
    <w:rsid w:val="00023759"/>
    <w:pPr>
      <w:spacing w:after="80"/>
      <w:ind w:left="720" w:hanging="720"/>
    </w:pPr>
  </w:style>
  <w:style w:type="character" w:customStyle="1" w:styleId="BalloonTextChar">
    <w:name w:val="Balloon Text Char"/>
    <w:basedOn w:val="DefaultParagraphFont"/>
    <w:link w:val="BalloonText"/>
    <w:uiPriority w:val="99"/>
    <w:semiHidden/>
    <w:rsid w:val="000F6E38"/>
    <w:rPr>
      <w:rFonts w:ascii="Lucida Grande" w:hAnsi="Lucida Grande" w:cs="Lucida Grande"/>
      <w:sz w:val="18"/>
      <w:szCs w:val="18"/>
    </w:rPr>
  </w:style>
  <w:style w:type="paragraph" w:styleId="Caption">
    <w:name w:val="caption"/>
    <w:basedOn w:val="Normal"/>
    <w:next w:val="Normal"/>
    <w:uiPriority w:val="35"/>
    <w:unhideWhenUsed/>
    <w:qFormat/>
    <w:rsid w:val="000F6E38"/>
    <w:pPr>
      <w:spacing w:after="200"/>
    </w:pPr>
    <w:rPr>
      <w:bCs/>
      <w:i/>
      <w:sz w:val="20"/>
      <w:szCs w:val="18"/>
    </w:rPr>
  </w:style>
  <w:style w:type="character" w:styleId="PlaceholderText">
    <w:name w:val="Placeholder Text"/>
    <w:basedOn w:val="DefaultParagraphFont"/>
    <w:uiPriority w:val="99"/>
    <w:semiHidden/>
    <w:rsid w:val="000F6E3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039"/>
  </w:style>
  <w:style w:type="paragraph" w:styleId="Heading1">
    <w:name w:val="heading 1"/>
    <w:basedOn w:val="Normal"/>
    <w:next w:val="Normal"/>
    <w:link w:val="Heading1Char"/>
    <w:uiPriority w:val="9"/>
    <w:qFormat/>
    <w:rsid w:val="000C59BE"/>
    <w:pPr>
      <w:keepNext/>
      <w:keepLines/>
      <w:pageBreakBefore/>
      <w:numPr>
        <w:numId w:val="2"/>
      </w:numPr>
      <w:spacing w:before="480" w:after="16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ED5733"/>
    <w:pPr>
      <w:keepNext/>
      <w:keepLines/>
      <w:numPr>
        <w:ilvl w:val="1"/>
        <w:numId w:val="2"/>
      </w:numPr>
      <w:spacing w:before="200"/>
      <w:ind w:left="576"/>
      <w:outlineLvl w:val="1"/>
    </w:pPr>
    <w:rPr>
      <w:rFonts w:ascii="Arial" w:eastAsiaTheme="majorEastAsia" w:hAnsi="Arial" w:cstheme="majorBidi"/>
      <w:b/>
      <w:bCs/>
      <w:sz w:val="28"/>
      <w:szCs w:val="28"/>
    </w:rPr>
  </w:style>
  <w:style w:type="paragraph" w:styleId="Heading3">
    <w:name w:val="heading 3"/>
    <w:basedOn w:val="Normal"/>
    <w:next w:val="Normal"/>
    <w:link w:val="Heading3Char"/>
    <w:uiPriority w:val="9"/>
    <w:unhideWhenUsed/>
    <w:qFormat/>
    <w:rsid w:val="00ED5733"/>
    <w:pPr>
      <w:keepNext/>
      <w:keepLines/>
      <w:numPr>
        <w:ilvl w:val="2"/>
        <w:numId w:val="2"/>
      </w:numPr>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ED5733"/>
    <w:pPr>
      <w:keepNext/>
      <w:keepLines/>
      <w:numPr>
        <w:ilvl w:val="3"/>
        <w:numId w:val="2"/>
      </w:numPr>
      <w:spacing w:before="200"/>
      <w:outlineLvl w:val="3"/>
    </w:pPr>
    <w:rPr>
      <w:rFonts w:ascii="Arial" w:eastAsiaTheme="majorEastAsia" w:hAnsi="Arial" w:cstheme="majorBidi"/>
      <w:b/>
      <w:bCs/>
      <w:i/>
      <w:iCs/>
    </w:rPr>
  </w:style>
  <w:style w:type="paragraph" w:styleId="Heading5">
    <w:name w:val="heading 5"/>
    <w:basedOn w:val="Normal"/>
    <w:next w:val="Normal"/>
    <w:link w:val="Heading5Char"/>
    <w:uiPriority w:val="9"/>
    <w:semiHidden/>
    <w:unhideWhenUsed/>
    <w:qFormat/>
    <w:rsid w:val="007A7E84"/>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7E8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7E8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7E8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7E8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link w:val="TitleChar"/>
    <w:uiPriority w:val="10"/>
    <w:qFormat/>
    <w:rsid w:val="00A95649"/>
    <w:pPr>
      <w:spacing w:after="300"/>
      <w:contextualSpacing/>
    </w:pPr>
    <w:rPr>
      <w:rFonts w:ascii="Arial" w:eastAsiaTheme="majorEastAsia" w:hAnsi="Arial" w:cstheme="majorBidi"/>
      <w:b/>
      <w:color w:val="17365D" w:themeColor="text2" w:themeShade="BF"/>
      <w:spacing w:val="5"/>
      <w:kern w:val="28"/>
      <w:sz w:val="52"/>
      <w:szCs w:val="52"/>
    </w:rPr>
  </w:style>
  <w:style w:type="numbering" w:customStyle="1" w:styleId="SectionHeadings">
    <w:name w:val="Section Headings"/>
    <w:basedOn w:val="NoList"/>
    <w:uiPriority w:val="99"/>
    <w:rsid w:val="007A7E84"/>
    <w:pPr>
      <w:numPr>
        <w:numId w:val="1"/>
      </w:numPr>
    </w:pPr>
  </w:style>
  <w:style w:type="character" w:customStyle="1" w:styleId="TitleChar">
    <w:name w:val="Title Char"/>
    <w:basedOn w:val="DefaultParagraphFont"/>
    <w:link w:val="Title"/>
    <w:uiPriority w:val="10"/>
    <w:rsid w:val="00A95649"/>
    <w:rPr>
      <w:rFonts w:ascii="Arial" w:eastAsiaTheme="majorEastAsia" w:hAnsi="Arial" w:cstheme="majorBidi"/>
      <w:b/>
      <w:color w:val="17365D" w:themeColor="text2" w:themeShade="BF"/>
      <w:spacing w:val="5"/>
      <w:kern w:val="28"/>
      <w:sz w:val="52"/>
      <w:szCs w:val="52"/>
    </w:rPr>
  </w:style>
  <w:style w:type="paragraph" w:styleId="ListParagraph">
    <w:name w:val="List Paragraph"/>
    <w:basedOn w:val="Normal"/>
    <w:uiPriority w:val="34"/>
    <w:qFormat/>
    <w:rsid w:val="007A7E84"/>
    <w:pPr>
      <w:ind w:left="720"/>
      <w:contextualSpacing/>
    </w:pPr>
  </w:style>
  <w:style w:type="paragraph" w:customStyle="1" w:styleId="Authors">
    <w:name w:val="Authors"/>
    <w:basedOn w:val="Normal"/>
    <w:qFormat/>
    <w:rsid w:val="00A95649"/>
    <w:rPr>
      <w:rFonts w:ascii="Arial" w:hAnsi="Arial"/>
      <w:sz w:val="32"/>
    </w:rPr>
  </w:style>
  <w:style w:type="paragraph" w:customStyle="1" w:styleId="Affiliations">
    <w:name w:val="Affiliations"/>
    <w:basedOn w:val="Authors"/>
    <w:qFormat/>
    <w:rsid w:val="00A95649"/>
    <w:rPr>
      <w:rFonts w:ascii="Times New Roman" w:hAnsi="Times New Roman"/>
      <w:i/>
      <w:sz w:val="28"/>
    </w:rPr>
  </w:style>
  <w:style w:type="paragraph" w:styleId="Header">
    <w:name w:val="header"/>
    <w:basedOn w:val="Normal"/>
    <w:link w:val="HeaderChar"/>
    <w:uiPriority w:val="99"/>
    <w:unhideWhenUsed/>
    <w:rsid w:val="008E3CDC"/>
    <w:pPr>
      <w:tabs>
        <w:tab w:val="center" w:pos="4320"/>
        <w:tab w:val="right" w:pos="8640"/>
      </w:tabs>
    </w:pPr>
  </w:style>
  <w:style w:type="character" w:customStyle="1" w:styleId="Heading1Char">
    <w:name w:val="Heading 1 Char"/>
    <w:basedOn w:val="DefaultParagraphFont"/>
    <w:link w:val="Heading1"/>
    <w:uiPriority w:val="9"/>
    <w:rsid w:val="000C59BE"/>
    <w:rPr>
      <w:rFonts w:ascii="Arial" w:eastAsiaTheme="majorEastAsia" w:hAnsi="Arial" w:cstheme="majorBidi"/>
      <w:b/>
      <w:bCs/>
      <w:sz w:val="32"/>
      <w:szCs w:val="32"/>
    </w:rPr>
  </w:style>
  <w:style w:type="character" w:customStyle="1" w:styleId="Heading2Char">
    <w:name w:val="Heading 2 Char"/>
    <w:basedOn w:val="DefaultParagraphFont"/>
    <w:link w:val="Heading2"/>
    <w:uiPriority w:val="9"/>
    <w:rsid w:val="00ED5733"/>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ED5733"/>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D5733"/>
    <w:rPr>
      <w:rFonts w:ascii="Arial" w:eastAsiaTheme="majorEastAsia" w:hAnsi="Arial" w:cstheme="majorBidi"/>
      <w:b/>
      <w:bCs/>
      <w:i/>
      <w:iCs/>
    </w:rPr>
  </w:style>
  <w:style w:type="character" w:customStyle="1" w:styleId="Heading5Char">
    <w:name w:val="Heading 5 Char"/>
    <w:basedOn w:val="DefaultParagraphFont"/>
    <w:link w:val="Heading5"/>
    <w:uiPriority w:val="9"/>
    <w:semiHidden/>
    <w:rsid w:val="007A7E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7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7E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7E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7E84"/>
    <w:rPr>
      <w:rFonts w:asciiTheme="majorHAnsi" w:eastAsiaTheme="majorEastAsia" w:hAnsiTheme="majorHAnsi" w:cstheme="majorBidi"/>
      <w:i/>
      <w:iCs/>
      <w:color w:val="404040" w:themeColor="text1" w:themeTint="BF"/>
      <w:sz w:val="20"/>
      <w:szCs w:val="20"/>
    </w:rPr>
  </w:style>
  <w:style w:type="character" w:customStyle="1" w:styleId="HeaderChar">
    <w:name w:val="Header Char"/>
    <w:basedOn w:val="DefaultParagraphFont"/>
    <w:link w:val="Header"/>
    <w:uiPriority w:val="99"/>
    <w:rsid w:val="008E3CDC"/>
  </w:style>
  <w:style w:type="paragraph" w:styleId="Footer">
    <w:name w:val="footer"/>
    <w:basedOn w:val="Normal"/>
    <w:link w:val="FooterChar"/>
    <w:uiPriority w:val="99"/>
    <w:unhideWhenUsed/>
    <w:rsid w:val="008E3CDC"/>
    <w:pPr>
      <w:tabs>
        <w:tab w:val="center" w:pos="4320"/>
        <w:tab w:val="right" w:pos="8640"/>
      </w:tabs>
    </w:pPr>
  </w:style>
  <w:style w:type="character" w:customStyle="1" w:styleId="FooterChar">
    <w:name w:val="Footer Char"/>
    <w:basedOn w:val="DefaultParagraphFont"/>
    <w:link w:val="Footer"/>
    <w:uiPriority w:val="99"/>
    <w:rsid w:val="008E3CDC"/>
  </w:style>
  <w:style w:type="character" w:styleId="PageNumber">
    <w:name w:val="page number"/>
    <w:basedOn w:val="DefaultParagraphFont"/>
    <w:uiPriority w:val="99"/>
    <w:semiHidden/>
    <w:unhideWhenUsed/>
    <w:rsid w:val="00B557C3"/>
  </w:style>
  <w:style w:type="paragraph" w:styleId="BalloonText">
    <w:name w:val="Balloon Text"/>
    <w:basedOn w:val="Normal"/>
    <w:link w:val="BalloonTextChar"/>
    <w:uiPriority w:val="99"/>
    <w:semiHidden/>
    <w:unhideWhenUsed/>
    <w:rsid w:val="000F6E38"/>
    <w:rPr>
      <w:rFonts w:ascii="Lucida Grande" w:hAnsi="Lucida Grande" w:cs="Lucida Grande"/>
      <w:sz w:val="18"/>
      <w:szCs w:val="18"/>
    </w:rPr>
  </w:style>
  <w:style w:type="paragraph" w:customStyle="1" w:styleId="References">
    <w:name w:val="References"/>
    <w:basedOn w:val="Normal"/>
    <w:qFormat/>
    <w:rsid w:val="00023759"/>
    <w:pPr>
      <w:spacing w:after="80"/>
      <w:ind w:left="720" w:hanging="720"/>
    </w:pPr>
  </w:style>
  <w:style w:type="character" w:customStyle="1" w:styleId="BalloonTextChar">
    <w:name w:val="Balloon Text Char"/>
    <w:basedOn w:val="DefaultParagraphFont"/>
    <w:link w:val="BalloonText"/>
    <w:uiPriority w:val="99"/>
    <w:semiHidden/>
    <w:rsid w:val="000F6E38"/>
    <w:rPr>
      <w:rFonts w:ascii="Lucida Grande" w:hAnsi="Lucida Grande" w:cs="Lucida Grande"/>
      <w:sz w:val="18"/>
      <w:szCs w:val="18"/>
    </w:rPr>
  </w:style>
  <w:style w:type="paragraph" w:styleId="Caption">
    <w:name w:val="caption"/>
    <w:basedOn w:val="Normal"/>
    <w:next w:val="Normal"/>
    <w:uiPriority w:val="35"/>
    <w:unhideWhenUsed/>
    <w:qFormat/>
    <w:rsid w:val="000F6E38"/>
    <w:pPr>
      <w:spacing w:after="200"/>
    </w:pPr>
    <w:rPr>
      <w:bCs/>
      <w:i/>
      <w:sz w:val="20"/>
      <w:szCs w:val="18"/>
    </w:rPr>
  </w:style>
  <w:style w:type="character" w:styleId="PlaceholderText">
    <w:name w:val="Placeholder Text"/>
    <w:basedOn w:val="DefaultParagraphFont"/>
    <w:uiPriority w:val="99"/>
    <w:semiHidden/>
    <w:rsid w:val="000F6E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230144">
      <w:bodyDiv w:val="1"/>
      <w:marLeft w:val="0"/>
      <w:marRight w:val="0"/>
      <w:marTop w:val="0"/>
      <w:marBottom w:val="0"/>
      <w:divBdr>
        <w:top w:val="none" w:sz="0" w:space="0" w:color="auto"/>
        <w:left w:val="none" w:sz="0" w:space="0" w:color="auto"/>
        <w:bottom w:val="none" w:sz="0" w:space="0" w:color="auto"/>
        <w:right w:val="none" w:sz="0" w:space="0" w:color="auto"/>
      </w:divBdr>
    </w:div>
    <w:div w:id="1600062980">
      <w:bodyDiv w:val="1"/>
      <w:marLeft w:val="0"/>
      <w:marRight w:val="0"/>
      <w:marTop w:val="0"/>
      <w:marBottom w:val="0"/>
      <w:divBdr>
        <w:top w:val="none" w:sz="0" w:space="0" w:color="auto"/>
        <w:left w:val="none" w:sz="0" w:space="0" w:color="auto"/>
        <w:bottom w:val="none" w:sz="0" w:space="0" w:color="auto"/>
        <w:right w:val="none" w:sz="0" w:space="0" w:color="auto"/>
      </w:divBdr>
    </w:div>
    <w:div w:id="1660302649">
      <w:bodyDiv w:val="1"/>
      <w:marLeft w:val="0"/>
      <w:marRight w:val="0"/>
      <w:marTop w:val="0"/>
      <w:marBottom w:val="0"/>
      <w:divBdr>
        <w:top w:val="none" w:sz="0" w:space="0" w:color="auto"/>
        <w:left w:val="none" w:sz="0" w:space="0" w:color="auto"/>
        <w:bottom w:val="none" w:sz="0" w:space="0" w:color="auto"/>
        <w:right w:val="none" w:sz="0" w:space="0" w:color="auto"/>
      </w:divBdr>
    </w:div>
    <w:div w:id="18095147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4DCA3-D074-4EB2-A7B6-3B6CFCBDE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1524</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Ferraro</dc:creator>
  <cp:lastModifiedBy>Matthew Reinke</cp:lastModifiedBy>
  <cp:revision>4</cp:revision>
  <dcterms:created xsi:type="dcterms:W3CDTF">2017-10-18T11:57:00Z</dcterms:created>
  <dcterms:modified xsi:type="dcterms:W3CDTF">2017-10-18T12:04:00Z</dcterms:modified>
</cp:coreProperties>
</file>